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山西林业职业技术学院信息工程系</w:t>
      </w:r>
    </w:p>
    <w:p w14:paraId="7CF17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第二届大学生职业规划大赛方案</w:t>
      </w:r>
    </w:p>
    <w:p w14:paraId="295E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各班级：</w:t>
      </w:r>
    </w:p>
    <w:p w14:paraId="50578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山西林业职业技术学院关于举办第二届大学生职业规范大赛的通知》要求，加强我系生涯教育和就业指导，增强大学生职业生涯规划意识，指导大学生及早做好就业准备，以择业新观念打开就业新天地，促进高质量充分就业，信息工程系定于2024年11月举办第二届大学生职业规划大赛。现将比赛相关要求通知如下。</w:t>
      </w:r>
    </w:p>
    <w:p w14:paraId="499AD17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一、大赛主题</w:t>
      </w:r>
    </w:p>
    <w:p w14:paraId="0840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筑梦青春志在四方　规划启航职引未来</w:t>
      </w:r>
    </w:p>
    <w:p w14:paraId="5FB7A5D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二、大赛目标</w:t>
      </w:r>
    </w:p>
    <w:p w14:paraId="408AA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将大赛打造成强化生涯教育的大课堂、促进人才供需对接的大平台、服务毕业生就业的大市场。通过举办大赛，更好实现以赛促学，引导大学生树立正确的成长成才观和择业就业观，科学合理规划学业与职业发展，提升就业竞争力；以赛促教，促进高校强化生涯教育，做实做细就业指导服务；以赛促就，广泛发动行业企业和高校参与赛事活动，推动人才供需有效对接，全力促进高校毕业生高质量充分就业。</w:t>
      </w:r>
    </w:p>
    <w:p w14:paraId="69F4BD3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三、大赛内容</w:t>
      </w:r>
    </w:p>
    <w:p w14:paraId="3DB2C1B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（一）成长赛道。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一、二年级学生，考察其树立生涯发展理念并合理设定职业目标、围绕实现目标持续行动并不断调整的成长过程，通过学习实践提升综合素质和专业能力，体现正确的择业就业观念。参赛学生可获得实习机会。</w:t>
      </w:r>
    </w:p>
    <w:p w14:paraId="4A84B7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（二）就业赛道。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面向二、三年级计划求职学生，考察其求职实战能力，对照目标职业及岗位要求，个人综合素质和专业能力等方面的契合度，个人发展路径与就业市场需求的适应度。</w:t>
      </w:r>
    </w:p>
    <w:p w14:paraId="1B336A6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四、组织机构</w:t>
      </w:r>
    </w:p>
    <w:p w14:paraId="149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（一）组委会，分设领导组和办公室。</w:t>
      </w:r>
    </w:p>
    <w:p w14:paraId="2956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领导组：</w:t>
      </w:r>
    </w:p>
    <w:p w14:paraId="3EDB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  波  张永福</w:t>
      </w:r>
    </w:p>
    <w:p w14:paraId="427C0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张晋芳  刘晓杰 </w:t>
      </w:r>
    </w:p>
    <w:p w14:paraId="0674E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462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刘晓杰</w:t>
      </w:r>
    </w:p>
    <w:p w14:paraId="114A6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张如鑫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吕  颖  呼明倩  牛  蕾  陈  矞 </w:t>
      </w:r>
    </w:p>
    <w:p w14:paraId="41A62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姚  远  武丹丹  张  恒  靳能辉  张俊华 </w:t>
      </w:r>
    </w:p>
    <w:p w14:paraId="72107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张一名  宋朝辉  武  鑫  刘文毓  韩欣洲 </w:t>
      </w:r>
    </w:p>
    <w:p w14:paraId="117F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  立  李  宏  靳星星  赵  俊  宋经纶 </w:t>
      </w:r>
    </w:p>
    <w:p w14:paraId="6461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具体负责大赛组织和赛务工作。</w:t>
      </w:r>
    </w:p>
    <w:p w14:paraId="66E0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（二）评审委员会</w:t>
      </w:r>
    </w:p>
    <w:p w14:paraId="0E1E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确保大赛评审工作公开、公平、公正进行，评审委员会对大赛组委会负责，独立开展评审工作。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负责本次大赛参赛项目的评审工作。</w:t>
      </w:r>
    </w:p>
    <w:p w14:paraId="6B47F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（三）纪律与监督委员会</w:t>
      </w:r>
    </w:p>
    <w:p w14:paraId="12AD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负责对赛事组织、参赛项目评审、协办单位相关工作等进行监督，对违反大赛纪律的行为予以处理。</w:t>
      </w:r>
    </w:p>
    <w:p w14:paraId="5F8A1DE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五、赛制安排</w:t>
      </w:r>
    </w:p>
    <w:p w14:paraId="697394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（一）大赛赛制</w:t>
      </w:r>
    </w:p>
    <w:p w14:paraId="1159BF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大赛采用班赛和系赛两级赛制。</w:t>
      </w:r>
    </w:p>
    <w:p w14:paraId="334EFCE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（二）赛程安排</w:t>
      </w:r>
    </w:p>
    <w:p w14:paraId="58AEE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1.报名</w:t>
      </w:r>
    </w:p>
    <w:p w14:paraId="07A66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参赛选手使用学信网账号通过全国大学生职业规划大赛平台（以下简称大赛平台，网址：zgs.chsi.com.cn）报名，在大赛平台登录页面可下载学生操作手册。参赛选手需在2024年11月25日前完成报名。</w:t>
      </w:r>
    </w:p>
    <w:p w14:paraId="6AAB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一年级全体同学报名参加成长赛道。</w:t>
      </w:r>
    </w:p>
    <w:p w14:paraId="330AC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二年级50%同学报名参加成长赛道或就业赛道。</w:t>
      </w:r>
    </w:p>
    <w:p w14:paraId="0E606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三年级20%同学报名参加就业赛道。</w:t>
      </w:r>
    </w:p>
    <w:p w14:paraId="198F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2.班赛（11月25日前）</w:t>
      </w:r>
    </w:p>
    <w:p w14:paraId="58BA1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赛由各班负责组织，班赛的方案、比赛环节、评审方式等由各班自行决定。各班根据比赛成绩，推荐选手参加系赛，一年级每班至少推荐1名选手参加成长赛道，二三年级每班分别至少推荐1名选手参加成长赛道和就业赛道，11月25日前将名单报给刘晓杰老师。</w:t>
      </w:r>
    </w:p>
    <w:p w14:paraId="10D9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3.系赛（11月29日）</w:t>
      </w:r>
    </w:p>
    <w:p w14:paraId="262D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分为材料评审和现场比赛两个环节，材料评审环节每个赛道前6名选手进入现场比赛，现场比赛每个赛道决出金奖1项、银奖2项、铜奖3项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优秀指导教师奖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，按名额推荐参加学院第二届职业规划大赛。大赛平台成长赛道设生涯闯关功能，就业赛道设职业适配度测评功能，参赛选手可根据需要选择使用。</w:t>
      </w:r>
    </w:p>
    <w:p w14:paraId="5A79669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六、参赛要求</w:t>
      </w:r>
    </w:p>
    <w:p w14:paraId="2CE481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大赛成长、就业赛道参赛选手须为普通高等学校全日制在校学生。每名选手结合自身条件选择符合要求的一个赛道报名参赛。参加成长赛道要求一年级学生参赛比例100%；二年级学生参加成长赛道和就业赛道参赛比例50%以上，学生可以根据自身情况自主选择赛道；三年级学生参加就业赛道参赛比例20%以上。</w:t>
      </w:r>
    </w:p>
    <w:p w14:paraId="3A6732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（二）参赛选手应按要求在2024年11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月25日在大赛平台准确填写报名信息，提交材料应坚持真实性原则，不得含有违法违规内容，否则将被取消参赛资格及所获奖项等，并承担相应法律责任。 </w:t>
      </w:r>
    </w:p>
    <w:p w14:paraId="7374E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（三）各班应认真做好参赛选手资格审查和参赛材料审查工作，确保符合相关要求。</w:t>
      </w:r>
    </w:p>
    <w:p w14:paraId="7C751E6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七、工作要求</w:t>
      </w:r>
    </w:p>
    <w:p w14:paraId="352C5F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（一）充分发动。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班要认真做好大赛宣传动员工作，把大赛作为加强和改进生涯教育、促进高质量充分就业的重要载体，发动更多大学生了解和参与大赛。各班要指定一名工作人员作为联络员，负责赛事的沟通交流工作。大赛平台生涯闯关功能面向全体在校大学生开放，鼓励各班广泛动员学生参与，与学校就业指导课程有机结合。</w:t>
      </w:r>
    </w:p>
    <w:p w14:paraId="19EA105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（二）精心组织。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各班要高度重视、周密部署，专人负责，确保安全有序推进。坚持公平办赛、公益办赛、开放办赛、节俭办赛、廉洁办赛、安全办赛，确保比赛平稳有序、取得实效。</w:t>
      </w:r>
    </w:p>
    <w:p w14:paraId="4EBACB7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（三）广泛宣传。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班要充分利用校园媒体、新媒体等多元传播渠道，全方位对赛事进行宣传推广，不断提升生涯教育与就业指导工作的覆盖面和影响力，营造全社会关心支持大学生就业的良好氛围。全国大赛组委会将适时发布大赛徽标、主视觉、吉祥物形象、主题曲等宣传元素，供各级赛事使用，打造大赛品牌形象。</w:t>
      </w:r>
    </w:p>
    <w:p w14:paraId="63DC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00E5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1.山西林业职业技术学院信息工程系第二届大学生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职业规划大赛成长赛道方案</w:t>
      </w:r>
    </w:p>
    <w:p w14:paraId="05DCA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2.山西林业职业技术学院信息工程系第二届大学生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职业规划大赛就业赛道方案</w:t>
      </w:r>
    </w:p>
    <w:p w14:paraId="56DF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41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B3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山西林业职业技术学院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信息工程系</w:t>
      </w:r>
    </w:p>
    <w:p w14:paraId="4EA4B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106EBA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551CDDB"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A02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山西林业职技术学院信息工程系</w:t>
      </w:r>
    </w:p>
    <w:p w14:paraId="57853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第二届大学生职业规划大赛成长赛道方案</w:t>
      </w:r>
    </w:p>
    <w:p w14:paraId="4D207A7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11EB1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一、比赛内容</w:t>
      </w:r>
    </w:p>
    <w:p w14:paraId="5389642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考察学生树立生涯发展理念并合理设定职业目标、围绕实现目标持续行动并不断调整的成长过程，通过学习实践提升综合素质和专业能力，体现正确的择业就业观念。参赛学生可获得实习机会。</w:t>
      </w:r>
    </w:p>
    <w:p w14:paraId="38D19C2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二、参赛组别和对象</w:t>
      </w:r>
    </w:p>
    <w:p w14:paraId="3BCA5F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成长赛道面向一、二年级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注：在全国大学生职业规划大赛平台中组别选择“职教组”。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AEE356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三、参赛材料要求</w:t>
      </w:r>
    </w:p>
    <w:p w14:paraId="74C240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选手在大赛平台（网址：zgs.chsi.com.cn）提交以下参赛材料：</w:t>
      </w:r>
    </w:p>
    <w:p w14:paraId="5F42EC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（一）生涯发展报告：介绍设定职业目标的过程；实现职业目标的具体行动和成效；职业目标及行动的动态调整等 (PDF格式，文字不超过2000字，图表不超过5张)。</w:t>
      </w:r>
    </w:p>
    <w:p w14:paraId="10AB99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（二）生涯发展展示(PPT格式，不超过50MB;可加入视频)。</w:t>
      </w:r>
    </w:p>
    <w:p w14:paraId="57B2781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四、比赛环节</w:t>
      </w:r>
    </w:p>
    <w:p w14:paraId="17655E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成长赛道设主题陈述、评委提问环节。各环节时长根据实际情况适当调整。</w:t>
      </w:r>
    </w:p>
    <w:p w14:paraId="75FAC3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（一）主题陈述（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7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分钟）：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选手结合生涯发展报告进行陈述。</w:t>
      </w:r>
    </w:p>
    <w:p w14:paraId="0E7933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（二）评委提问（5分钟）：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评委结合选手陈述和现场表现提问。</w:t>
      </w:r>
    </w:p>
    <w:p w14:paraId="14AAB4B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五、评审标准</w:t>
      </w:r>
    </w:p>
    <w:tbl>
      <w:tblPr>
        <w:tblStyle w:val="10"/>
        <w:tblW w:w="8530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343"/>
        <w:gridCol w:w="814"/>
      </w:tblGrid>
      <w:tr w14:paraId="09132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73" w:type="dxa"/>
            <w:noWrap w:val="0"/>
            <w:vAlign w:val="top"/>
          </w:tcPr>
          <w:p w14:paraId="796141BB">
            <w:pPr>
              <w:pStyle w:val="9"/>
              <w:spacing w:before="107" w:line="220" w:lineRule="auto"/>
              <w:ind w:left="395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指标</w:t>
            </w:r>
          </w:p>
        </w:tc>
        <w:tc>
          <w:tcPr>
            <w:tcW w:w="6343" w:type="dxa"/>
            <w:noWrap w:val="0"/>
            <w:vAlign w:val="top"/>
          </w:tcPr>
          <w:p w14:paraId="5D279CDC">
            <w:pPr>
              <w:pStyle w:val="9"/>
              <w:spacing w:before="106" w:line="219" w:lineRule="auto"/>
              <w:ind w:left="2881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</w:rPr>
              <w:t>说明</w:t>
            </w:r>
          </w:p>
        </w:tc>
        <w:tc>
          <w:tcPr>
            <w:tcW w:w="814" w:type="dxa"/>
            <w:noWrap w:val="0"/>
            <w:vAlign w:val="top"/>
          </w:tcPr>
          <w:p w14:paraId="13FF2DA5">
            <w:pPr>
              <w:pStyle w:val="9"/>
              <w:spacing w:before="106" w:line="219" w:lineRule="auto"/>
              <w:ind w:left="118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分值</w:t>
            </w:r>
          </w:p>
        </w:tc>
      </w:tr>
      <w:tr w14:paraId="56902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0A43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6343" w:type="dxa"/>
            <w:noWrap w:val="0"/>
            <w:vAlign w:val="top"/>
          </w:tcPr>
          <w:p w14:paraId="47DA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结合所学专业多渠道了解相关行业发展趋势和就   业市场需求，综合分析个人能力优势、兴趣特长等， 合理设定职业目标</w:t>
            </w:r>
          </w:p>
        </w:tc>
        <w:tc>
          <w:tcPr>
            <w:tcW w:w="814" w:type="dxa"/>
            <w:noWrap w:val="0"/>
            <w:vAlign w:val="center"/>
          </w:tcPr>
          <w:p w14:paraId="6292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 w14:paraId="7C9DF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D3F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43" w:type="dxa"/>
            <w:noWrap w:val="0"/>
            <w:vAlign w:val="top"/>
          </w:tcPr>
          <w:p w14:paraId="25ED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基于职业目标对综合素质和专业能力等方面要求， 科学分析个人现实情况与职业目标间的差距，制定 合理可行的成长计划</w:t>
            </w:r>
          </w:p>
        </w:tc>
        <w:tc>
          <w:tcPr>
            <w:tcW w:w="814" w:type="dxa"/>
            <w:noWrap w:val="0"/>
            <w:vAlign w:val="center"/>
          </w:tcPr>
          <w:p w14:paraId="48F6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 w14:paraId="6CCA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068A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43" w:type="dxa"/>
            <w:noWrap w:val="0"/>
            <w:vAlign w:val="top"/>
          </w:tcPr>
          <w:p w14:paraId="6124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职业目标能够将个人理想与国家需要、经济社会发 展相结合，体现正确的择业就业观念</w:t>
            </w:r>
          </w:p>
        </w:tc>
        <w:tc>
          <w:tcPr>
            <w:tcW w:w="814" w:type="dxa"/>
            <w:noWrap w:val="0"/>
            <w:vAlign w:val="center"/>
          </w:tcPr>
          <w:p w14:paraId="6BDD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 w14:paraId="5908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4021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 行动</w:t>
            </w:r>
          </w:p>
        </w:tc>
        <w:tc>
          <w:tcPr>
            <w:tcW w:w="6343" w:type="dxa"/>
            <w:noWrap w:val="0"/>
            <w:vAlign w:val="top"/>
          </w:tcPr>
          <w:p w14:paraId="7671B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814" w:type="dxa"/>
            <w:noWrap w:val="0"/>
            <w:vAlign w:val="center"/>
          </w:tcPr>
          <w:p w14:paraId="63BA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 w14:paraId="1D2AB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2347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43" w:type="dxa"/>
            <w:noWrap w:val="0"/>
            <w:vAlign w:val="top"/>
          </w:tcPr>
          <w:p w14:paraId="293D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学习实践行动取得阶段性标志性成果，接近职业目 标要求</w:t>
            </w:r>
          </w:p>
        </w:tc>
        <w:tc>
          <w:tcPr>
            <w:tcW w:w="814" w:type="dxa"/>
            <w:noWrap w:val="0"/>
            <w:vAlign w:val="center"/>
          </w:tcPr>
          <w:p w14:paraId="5D8B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 w14:paraId="067C2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373" w:type="dxa"/>
            <w:noWrap w:val="0"/>
            <w:vAlign w:val="center"/>
          </w:tcPr>
          <w:p w14:paraId="080B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动态调整</w:t>
            </w:r>
          </w:p>
        </w:tc>
        <w:tc>
          <w:tcPr>
            <w:tcW w:w="6343" w:type="dxa"/>
            <w:noWrap w:val="0"/>
            <w:vAlign w:val="top"/>
          </w:tcPr>
          <w:p w14:paraId="7F4F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及时对学习实践行动成效进行自我评估，总结分析 收获、不足和原因，对职业目标和学习实践行动路径等作动态调整</w:t>
            </w:r>
          </w:p>
        </w:tc>
        <w:tc>
          <w:tcPr>
            <w:tcW w:w="814" w:type="dxa"/>
            <w:noWrap w:val="0"/>
            <w:vAlign w:val="center"/>
          </w:tcPr>
          <w:p w14:paraId="4C3D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</w:tbl>
    <w:p w14:paraId="32553E2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六、奖项设置</w:t>
      </w:r>
    </w:p>
    <w:p w14:paraId="7C2E57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成长赛道设置金奖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个、银奖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个、铜奖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个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以及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优秀指导教师奖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等奖项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32EB9D21">
      <w:pP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br w:type="page"/>
      </w:r>
    </w:p>
    <w:p w14:paraId="6B2D3EB8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7AE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山西林业职技术学院信息工程系</w:t>
      </w:r>
    </w:p>
    <w:p w14:paraId="5068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第二届大学生职业规划大赛就业赛道方案</w:t>
      </w:r>
    </w:p>
    <w:p w14:paraId="640A9F1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73434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一、比赛内容</w:t>
      </w:r>
    </w:p>
    <w:p w14:paraId="6E30485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考察学生求职实战能力，对照目标职业及岗位要求，个 人综合素质和专业能力等方面的契合度，个人发展路径与就 业市场需求的适应度。参赛学生可获得岗位录用意向。</w:t>
      </w:r>
    </w:p>
    <w:p w14:paraId="2280429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二、参赛组别和对象</w:t>
      </w:r>
    </w:p>
    <w:p w14:paraId="1C00FF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就业赛道参赛对象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二、三年级学生。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注：在全国大学生职业规划大赛平台中组别选择“职教组”。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54FDBF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三、参赛材料要求</w:t>
      </w:r>
    </w:p>
    <w:p w14:paraId="05B01F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选手在大赛平台（网址：zgs.chsi.com.cn）提交以下参赛材料：</w:t>
      </w:r>
    </w:p>
    <w:p w14:paraId="3A2FCA3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（一）求职简历(PDF格式)。</w:t>
      </w:r>
    </w:p>
    <w:p w14:paraId="1FBE15C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（二）求职综合展示(PPT格式，不超过50MB;可加入视频)。</w:t>
      </w:r>
    </w:p>
    <w:p w14:paraId="179A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（三）辅助证明材料，包括实践、实习、获奖等证明材料(PDF格式，整合为单个文件，不超过50MB)。</w:t>
      </w:r>
    </w:p>
    <w:p w14:paraId="5457E2B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四、比赛环节</w:t>
      </w:r>
    </w:p>
    <w:p w14:paraId="228648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就业赛道设主题陈述、综合面试环节。各环节时长根据实际情况适当调整。</w:t>
      </w:r>
    </w:p>
    <w:p w14:paraId="4A6200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（一）主题陈述（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6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分钟）：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选手结合求职综合展示PPT,陈述个人求职意向和职业准备情况。</w:t>
      </w:r>
    </w:p>
    <w:p w14:paraId="5EFBBFB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（二）综合面试（8分钟）：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评委提出真实工作场景中可能遇到的问题，选手提出解决方案；评委结合选手陈述自由提问。</w:t>
      </w:r>
    </w:p>
    <w:p w14:paraId="79428D4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五、评审标准</w:t>
      </w:r>
    </w:p>
    <w:p w14:paraId="19522819"/>
    <w:tbl>
      <w:tblPr>
        <w:tblStyle w:val="10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6322"/>
        <w:gridCol w:w="814"/>
      </w:tblGrid>
      <w:tr w14:paraId="33AF8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noWrap w:val="0"/>
            <w:vAlign w:val="top"/>
          </w:tcPr>
          <w:p w14:paraId="7D1576DD">
            <w:pPr>
              <w:pStyle w:val="9"/>
              <w:spacing w:before="127" w:line="220" w:lineRule="auto"/>
              <w:ind w:left="444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指标</w:t>
            </w:r>
          </w:p>
        </w:tc>
        <w:tc>
          <w:tcPr>
            <w:tcW w:w="6322" w:type="dxa"/>
            <w:noWrap w:val="0"/>
            <w:vAlign w:val="top"/>
          </w:tcPr>
          <w:p w14:paraId="4CB35E20">
            <w:pPr>
              <w:pStyle w:val="9"/>
              <w:spacing w:before="126" w:line="219" w:lineRule="auto"/>
              <w:ind w:left="287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</w:rPr>
              <w:t>说明</w:t>
            </w:r>
          </w:p>
        </w:tc>
        <w:tc>
          <w:tcPr>
            <w:tcW w:w="814" w:type="dxa"/>
            <w:noWrap w:val="0"/>
            <w:vAlign w:val="top"/>
          </w:tcPr>
          <w:p w14:paraId="798E96CC">
            <w:pPr>
              <w:pStyle w:val="9"/>
              <w:spacing w:before="126" w:line="219" w:lineRule="auto"/>
              <w:ind w:left="119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分值</w:t>
            </w:r>
          </w:p>
        </w:tc>
      </w:tr>
      <w:tr w14:paraId="3D93D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34DF76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职业目标</w:t>
            </w:r>
          </w:p>
        </w:tc>
        <w:tc>
          <w:tcPr>
            <w:tcW w:w="6322" w:type="dxa"/>
            <w:noWrap w:val="0"/>
            <w:vAlign w:val="center"/>
          </w:tcPr>
          <w:p w14:paraId="3DA4E4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400" w:lineRule="exact"/>
              <w:ind w:right="65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能够结合就业市场需求和个人所学专业、能力及兴 趣等特点，合理设定职业目标</w:t>
            </w:r>
          </w:p>
        </w:tc>
        <w:tc>
          <w:tcPr>
            <w:tcW w:w="814" w:type="dxa"/>
            <w:noWrap w:val="0"/>
            <w:vAlign w:val="center"/>
          </w:tcPr>
          <w:p w14:paraId="75B0D7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5</w:t>
            </w:r>
          </w:p>
        </w:tc>
      </w:tr>
      <w:tr w14:paraId="37FB4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76D6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7262B6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67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准确把握目标职业的任职要求、工作内容、基本流 程和发展前景等</w:t>
            </w:r>
          </w:p>
        </w:tc>
        <w:tc>
          <w:tcPr>
            <w:tcW w:w="814" w:type="dxa"/>
            <w:noWrap w:val="0"/>
            <w:vAlign w:val="center"/>
          </w:tcPr>
          <w:p w14:paraId="692A51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5</w:t>
            </w:r>
          </w:p>
        </w:tc>
      </w:tr>
      <w:tr w14:paraId="3DEB8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248ADB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岗位</w:t>
            </w:r>
          </w:p>
          <w:p w14:paraId="031EB9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胜任力</w:t>
            </w:r>
          </w:p>
        </w:tc>
        <w:tc>
          <w:tcPr>
            <w:tcW w:w="6322" w:type="dxa"/>
            <w:noWrap w:val="0"/>
            <w:vAlign w:val="center"/>
          </w:tcPr>
          <w:p w14:paraId="4B3AFC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right="64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具备目标岗位所需综合素质，如思维认知、沟通协 作能力和执行力等，具有敬业奉献的职业精神</w:t>
            </w:r>
          </w:p>
        </w:tc>
        <w:tc>
          <w:tcPr>
            <w:tcW w:w="814" w:type="dxa"/>
            <w:noWrap w:val="0"/>
            <w:vAlign w:val="center"/>
          </w:tcPr>
          <w:p w14:paraId="51249B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40</w:t>
            </w:r>
          </w:p>
        </w:tc>
      </w:tr>
      <w:tr w14:paraId="40AC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1E07A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36FC24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具备目标岗位所需的专业知识和技能要求，相关实</w:t>
            </w:r>
          </w:p>
          <w:p w14:paraId="155197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习实践经历丰富，具备解决实际问题的专业能力</w:t>
            </w:r>
          </w:p>
        </w:tc>
        <w:tc>
          <w:tcPr>
            <w:tcW w:w="814" w:type="dxa"/>
            <w:noWrap w:val="0"/>
            <w:vAlign w:val="center"/>
          </w:tcPr>
          <w:p w14:paraId="208824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40</w:t>
            </w:r>
          </w:p>
        </w:tc>
      </w:tr>
      <w:tr w14:paraId="4CE6E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3" w:type="dxa"/>
            <w:noWrap w:val="0"/>
            <w:vAlign w:val="center"/>
          </w:tcPr>
          <w:p w14:paraId="54C22A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发展潜力</w:t>
            </w:r>
          </w:p>
        </w:tc>
        <w:tc>
          <w:tcPr>
            <w:tcW w:w="6322" w:type="dxa"/>
            <w:noWrap w:val="0"/>
            <w:vAlign w:val="center"/>
          </w:tcPr>
          <w:p w14:paraId="79A768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62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具备持续学习能力、创新精神和应对不确定性挑战 的潜质，适应未来职业发展要求；符合就业市场需 求</w:t>
            </w:r>
          </w:p>
        </w:tc>
        <w:tc>
          <w:tcPr>
            <w:tcW w:w="814" w:type="dxa"/>
            <w:noWrap w:val="0"/>
            <w:vAlign w:val="center"/>
          </w:tcPr>
          <w:p w14:paraId="1FCC39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10</w:t>
            </w:r>
          </w:p>
        </w:tc>
      </w:tr>
    </w:tbl>
    <w:p w14:paraId="61DD5CD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六、奖项设置</w:t>
      </w:r>
    </w:p>
    <w:p w14:paraId="7B09BE03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就业赛道设置金奖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个、银奖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个、铜奖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个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以及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优秀指导教师奖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等奖项。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AB9F02-9301-420E-9272-C9891403EF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81E142-DCA0-4586-BB5A-6935C23627D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322B57-D9EC-49AE-BC6F-332ADB8DBE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80FB83-292E-46D1-A8D9-63EE000607B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9CD1A8D-D03E-4BAD-9AEB-2FDD596B9A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WRhYWQ5ZWI3MDk1NzljYWVjZDkwMTEyY2NiNjIifQ=="/>
  </w:docVars>
  <w:rsids>
    <w:rsidRoot w:val="00000000"/>
    <w:rsid w:val="17027960"/>
    <w:rsid w:val="21F21D45"/>
    <w:rsid w:val="6252760F"/>
    <w:rsid w:val="685838F1"/>
    <w:rsid w:val="756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widowControl/>
      <w:spacing w:line="360" w:lineRule="auto"/>
      <w:ind w:left="57"/>
      <w:jc w:val="left"/>
      <w:outlineLvl w:val="1"/>
    </w:pPr>
    <w:rPr>
      <w:rFonts w:ascii="等线 Light" w:hAnsi="等线 Light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basedOn w:val="7"/>
    <w:link w:val="3"/>
    <w:qFormat/>
    <w:locked/>
    <w:uiPriority w:val="0"/>
    <w:rPr>
      <w:rFonts w:ascii="等线 Light" w:hAnsi="等线 Light"/>
      <w:b/>
      <w:bCs/>
      <w:sz w:val="24"/>
      <w:szCs w:val="32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3347</Words>
  <Characters>3468</Characters>
  <Lines>0</Lines>
  <Paragraphs>0</Paragraphs>
  <TotalTime>18</TotalTime>
  <ScaleCrop>false</ScaleCrop>
  <LinksUpToDate>false</LinksUpToDate>
  <CharactersWithSpaces>3559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2024-10-28T00:54:00Z</dcterms:created>
  <dc:creator>ZYF_SX</dc:creator>
  <cp:lastModifiedBy>张永福</cp:lastModifiedBy>
  <dcterms:modified xsi:type="dcterms:W3CDTF">2024-10-29T08:06:20Z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413A374B0FB040ACB3928F801AD39846_13</vt:lpwstr>
  </property>
</Properties>
</file>