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cs="仿宋"/>
          <w:sz w:val="28"/>
          <w:szCs w:val="28"/>
        </w:rPr>
      </w:pPr>
      <w:r>
        <w:rPr>
          <w:rFonts w:hint="eastAsia" w:ascii="仿宋" w:hAnsi="仿宋" w:eastAsia="仿宋" w:cs="仿宋"/>
          <w:b/>
          <w:bCs/>
          <w:sz w:val="32"/>
          <w:szCs w:val="32"/>
        </w:rPr>
        <w:t>山西林业职业技术学院差旅费管理办法</w:t>
      </w:r>
    </w:p>
    <w:p>
      <w:pPr>
        <w:spacing w:line="360" w:lineRule="auto"/>
        <w:ind w:firstLine="560" w:firstLineChars="200"/>
        <w:rPr>
          <w:rFonts w:ascii="仿宋" w:hAnsi="仿宋" w:eastAsia="仿宋" w:cs="仿宋"/>
          <w:sz w:val="28"/>
          <w:szCs w:val="28"/>
        </w:rPr>
      </w:pPr>
    </w:p>
    <w:p>
      <w:pPr>
        <w:pStyle w:val="9"/>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总则</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为加强和规范学院工作人员国内差旅费管理，依据《省直机关差旅费管理办法》（晋财行</w:t>
      </w:r>
      <w:r>
        <w:rPr>
          <w:rFonts w:ascii="仿宋" w:hAnsi="仿宋" w:eastAsia="仿宋" w:cs="仿宋"/>
          <w:sz w:val="28"/>
          <w:szCs w:val="28"/>
        </w:rPr>
        <w:t>[2014]49</w:t>
      </w:r>
      <w:r>
        <w:rPr>
          <w:rFonts w:hint="eastAsia" w:ascii="仿宋" w:hAnsi="仿宋" w:eastAsia="仿宋" w:cs="仿宋"/>
          <w:sz w:val="28"/>
          <w:szCs w:val="28"/>
        </w:rPr>
        <w:t>号）要求和有关法律、行政法规，结合学院实际，制定本办法。</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本办法适用于我院教学、科研、学生管理、行政后勤管理等与出差有关的经济活动。</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差旅费是指教职工临时到常驻地以外地区公务出差所发生的城市间交通费、住宿费、伙食补助费和市内交通费。</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教职工出差要履行审批手续，填制《山西林业职业技术学院工作人员出差审批表》，报经学院有关领导批准。学院各部门、各单位应当根据工作实际需要，按照精简高效、厉行节约的原则控制差旅费支出规模；从严控制出差人数和天数</w:t>
      </w:r>
      <w:r>
        <w:rPr>
          <w:rFonts w:hint="eastAsia" w:ascii="仿宋" w:hAnsi="仿宋" w:eastAsia="仿宋" w:cs="仿宋"/>
          <w:sz w:val="28"/>
          <w:szCs w:val="28"/>
          <w:lang w:eastAsia="zh-CN"/>
        </w:rPr>
        <w:t>，</w:t>
      </w:r>
      <w:r>
        <w:rPr>
          <w:rFonts w:hint="eastAsia" w:ascii="仿宋" w:hAnsi="仿宋" w:eastAsia="仿宋" w:cs="仿宋"/>
          <w:sz w:val="28"/>
          <w:szCs w:val="28"/>
        </w:rPr>
        <w:t>严禁无实质内容、无明确公务目的的差旅活动，严禁以任何名义和方式变相旅游。</w:t>
      </w:r>
    </w:p>
    <w:p>
      <w:pPr>
        <w:pStyle w:val="9"/>
        <w:spacing w:line="360" w:lineRule="auto"/>
        <w:ind w:left="1665" w:firstLine="56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城市间交通费</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城市间交通费是指教职工因公到常驻地以外地区出差乘坐火车、轮船、飞机等交通工具所发生的费用。</w:t>
      </w:r>
    </w:p>
    <w:p>
      <w:pPr>
        <w:numPr>
          <w:ilvl w:val="0"/>
          <w:numId w:val="2"/>
        </w:numPr>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出差人员应当按照规定标准乘坐交通工具并凭票报销，未按照规定标准乘坐交通工具的，超支部分自理。出差人员乘坐交通工具标准见下表：</w:t>
      </w:r>
    </w:p>
    <w:tbl>
      <w:tblPr>
        <w:tblStyle w:val="6"/>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165"/>
        <w:gridCol w:w="1215"/>
        <w:gridCol w:w="108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7" w:type="dxa"/>
            <w:vAlign w:val="center"/>
          </w:tcPr>
          <w:p>
            <w:pPr>
              <w:spacing w:line="360" w:lineRule="auto"/>
              <w:jc w:val="center"/>
              <w:rPr>
                <w:rFonts w:ascii="仿宋" w:hAnsi="仿宋" w:eastAsia="仿宋" w:cs="仿宋"/>
                <w:sz w:val="28"/>
                <w:szCs w:val="28"/>
              </w:rPr>
            </w:pPr>
            <w:r>
              <w:rPr>
                <w:rFonts w:hint="eastAsia" w:ascii="仿宋" w:hAnsi="仿宋" w:eastAsia="仿宋" w:cs="仿宋"/>
                <w:kern w:val="0"/>
                <w:sz w:val="28"/>
                <w:szCs w:val="28"/>
              </w:rPr>
              <w:t>职称及职务级别</w:t>
            </w:r>
          </w:p>
        </w:tc>
        <w:tc>
          <w:tcPr>
            <w:tcW w:w="316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火</w:t>
            </w:r>
            <w:r>
              <w:rPr>
                <w:rFonts w:ascii="仿宋" w:hAnsi="仿宋" w:eastAsia="仿宋" w:cs="仿宋"/>
                <w:kern w:val="0"/>
                <w:sz w:val="28"/>
                <w:szCs w:val="28"/>
              </w:rPr>
              <w:t xml:space="preserve">  </w:t>
            </w:r>
            <w:r>
              <w:rPr>
                <w:rFonts w:hint="eastAsia" w:ascii="仿宋" w:hAnsi="仿宋" w:eastAsia="仿宋" w:cs="仿宋"/>
                <w:kern w:val="0"/>
                <w:sz w:val="28"/>
                <w:szCs w:val="28"/>
              </w:rPr>
              <w:t>车（含高铁、动车、全列软席列车）</w:t>
            </w:r>
          </w:p>
        </w:tc>
        <w:tc>
          <w:tcPr>
            <w:tcW w:w="121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轮船（不包括旅游船）</w:t>
            </w:r>
          </w:p>
        </w:tc>
        <w:tc>
          <w:tcPr>
            <w:tcW w:w="1080"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飞机</w:t>
            </w:r>
          </w:p>
        </w:tc>
        <w:tc>
          <w:tcPr>
            <w:tcW w:w="1911"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7" w:type="dxa"/>
            <w:vAlign w:val="center"/>
          </w:tcPr>
          <w:p>
            <w:pPr>
              <w:spacing w:line="360" w:lineRule="auto"/>
              <w:jc w:val="center"/>
              <w:rPr>
                <w:rFonts w:ascii="仿宋" w:hAnsi="仿宋" w:eastAsia="仿宋" w:cs="仿宋"/>
                <w:sz w:val="28"/>
                <w:szCs w:val="28"/>
              </w:rPr>
            </w:pPr>
            <w:r>
              <w:rPr>
                <w:rFonts w:hint="eastAsia" w:ascii="仿宋" w:hAnsi="仿宋" w:eastAsia="仿宋" w:cs="仿宋"/>
                <w:kern w:val="0"/>
                <w:sz w:val="28"/>
                <w:szCs w:val="28"/>
              </w:rPr>
              <w:t>厅局级及相当职务人员</w:t>
            </w:r>
          </w:p>
        </w:tc>
        <w:tc>
          <w:tcPr>
            <w:tcW w:w="316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color w:val="333333"/>
                <w:kern w:val="0"/>
                <w:sz w:val="28"/>
                <w:szCs w:val="28"/>
              </w:rPr>
              <w:t>火车软席（软座、软卧），高铁</w:t>
            </w:r>
            <w:r>
              <w:rPr>
                <w:rFonts w:ascii="仿宋" w:hAnsi="仿宋" w:eastAsia="仿宋" w:cs="仿宋"/>
                <w:color w:val="333333"/>
                <w:kern w:val="0"/>
                <w:sz w:val="28"/>
                <w:szCs w:val="28"/>
              </w:rPr>
              <w:t>/</w:t>
            </w:r>
            <w:r>
              <w:rPr>
                <w:rFonts w:hint="eastAsia" w:ascii="仿宋" w:hAnsi="仿宋" w:eastAsia="仿宋" w:cs="仿宋"/>
                <w:color w:val="333333"/>
                <w:kern w:val="0"/>
                <w:sz w:val="28"/>
                <w:szCs w:val="28"/>
              </w:rPr>
              <w:t>动车一等座，全列软席列车一等软座</w:t>
            </w:r>
          </w:p>
        </w:tc>
        <w:tc>
          <w:tcPr>
            <w:tcW w:w="121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二等舱</w:t>
            </w:r>
          </w:p>
        </w:tc>
        <w:tc>
          <w:tcPr>
            <w:tcW w:w="1080"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经济舱</w:t>
            </w:r>
          </w:p>
        </w:tc>
        <w:tc>
          <w:tcPr>
            <w:tcW w:w="1911"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7" w:type="dxa"/>
            <w:vAlign w:val="center"/>
          </w:tcPr>
          <w:p>
            <w:pPr>
              <w:spacing w:line="360" w:lineRule="auto"/>
              <w:jc w:val="center"/>
              <w:rPr>
                <w:rFonts w:ascii="仿宋" w:hAnsi="仿宋" w:eastAsia="仿宋" w:cs="仿宋"/>
                <w:sz w:val="28"/>
                <w:szCs w:val="28"/>
              </w:rPr>
            </w:pPr>
            <w:r>
              <w:rPr>
                <w:rFonts w:hint="eastAsia" w:ascii="仿宋" w:hAnsi="仿宋" w:eastAsia="仿宋" w:cs="仿宋"/>
                <w:kern w:val="0"/>
                <w:sz w:val="28"/>
                <w:szCs w:val="28"/>
              </w:rPr>
              <w:t>其余人员</w:t>
            </w:r>
          </w:p>
        </w:tc>
        <w:tc>
          <w:tcPr>
            <w:tcW w:w="316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color w:val="333333"/>
                <w:kern w:val="0"/>
                <w:sz w:val="28"/>
                <w:szCs w:val="28"/>
              </w:rPr>
              <w:t>火车硬席（硬座、硬卧），高铁</w:t>
            </w:r>
            <w:r>
              <w:rPr>
                <w:rFonts w:ascii="仿宋" w:hAnsi="仿宋" w:eastAsia="仿宋" w:cs="仿宋"/>
                <w:color w:val="333333"/>
                <w:kern w:val="0"/>
                <w:sz w:val="28"/>
                <w:szCs w:val="28"/>
              </w:rPr>
              <w:t>/</w:t>
            </w:r>
            <w:r>
              <w:rPr>
                <w:rFonts w:hint="eastAsia" w:ascii="仿宋" w:hAnsi="仿宋" w:eastAsia="仿宋" w:cs="仿宋"/>
                <w:color w:val="333333"/>
                <w:kern w:val="0"/>
                <w:sz w:val="28"/>
                <w:szCs w:val="28"/>
              </w:rPr>
              <w:t>动车二等座，全列软席列车二等软座</w:t>
            </w:r>
          </w:p>
        </w:tc>
        <w:tc>
          <w:tcPr>
            <w:tcW w:w="1215"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三等舱</w:t>
            </w:r>
          </w:p>
        </w:tc>
        <w:tc>
          <w:tcPr>
            <w:tcW w:w="1080"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经济舱</w:t>
            </w:r>
          </w:p>
        </w:tc>
        <w:tc>
          <w:tcPr>
            <w:tcW w:w="1911" w:type="dxa"/>
            <w:tcBorders>
              <w:left w:val="nil"/>
            </w:tcBorders>
            <w:vAlign w:val="center"/>
          </w:tcPr>
          <w:p>
            <w:pPr>
              <w:spacing w:line="360" w:lineRule="auto"/>
              <w:rPr>
                <w:rFonts w:ascii="仿宋" w:hAnsi="仿宋" w:eastAsia="仿宋" w:cs="仿宋"/>
                <w:sz w:val="28"/>
                <w:szCs w:val="28"/>
              </w:rPr>
            </w:pPr>
            <w:r>
              <w:rPr>
                <w:rFonts w:hint="eastAsia" w:ascii="仿宋" w:hAnsi="仿宋" w:eastAsia="仿宋" w:cs="仿宋"/>
                <w:kern w:val="0"/>
                <w:sz w:val="28"/>
                <w:szCs w:val="28"/>
              </w:rPr>
              <w:t>凭据报销</w:t>
            </w:r>
          </w:p>
        </w:tc>
      </w:tr>
    </w:tbl>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因工作需要，其他人员陪同厅局级及相当职务人员出差，随行一人可乘坐同等级交通工具。</w:t>
      </w:r>
    </w:p>
    <w:p>
      <w:pPr>
        <w:pStyle w:val="9"/>
        <w:numPr>
          <w:ilvl w:val="0"/>
          <w:numId w:val="2"/>
        </w:numPr>
        <w:spacing w:line="360" w:lineRule="auto"/>
        <w:ind w:left="0" w:firstLine="560"/>
        <w:rPr>
          <w:rFonts w:ascii="仿宋" w:hAnsi="仿宋" w:eastAsia="仿宋" w:cs="仿宋"/>
          <w:sz w:val="28"/>
          <w:szCs w:val="28"/>
        </w:rPr>
      </w:pPr>
      <w:r>
        <w:rPr>
          <w:rFonts w:hint="eastAsia" w:ascii="仿宋" w:hAnsi="仿宋" w:eastAsia="仿宋" w:cs="仿宋"/>
          <w:sz w:val="28"/>
          <w:szCs w:val="28"/>
        </w:rPr>
        <w:t>到出差目的地有多种交通工具可选择时，出差人员在不影响公务、确保安全的前提下，应当选乘相对经济便捷的交通工具。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省内出差除处置应急事项（红色、橙色级）外，一律不得乘坐飞机。省外出差应优先选择高铁、动车等交通工具出行。路途较远或任务较急，确需乘坐飞机的，由院长审批。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未经审批乘坐飞机出行的，超出乘坐高铁车票价格部分自理。</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因发生城市间交通费用而产生的订票费、签转或退票费，乘坐飞机的民航发展基金、燃油附加费可以凭据报销。</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乘坐飞机、火车、轮船等交通工具的，每人次可以</w:t>
      </w:r>
      <w:r>
        <w:rPr>
          <w:rFonts w:hint="eastAsia" w:ascii="仿宋" w:hAnsi="仿宋" w:eastAsia="仿宋" w:cs="仿宋"/>
          <w:sz w:val="28"/>
          <w:szCs w:val="28"/>
          <w:lang w:eastAsia="zh-CN"/>
        </w:rPr>
        <w:t>随</w:t>
      </w:r>
      <w:bookmarkStart w:id="0" w:name="_GoBack"/>
      <w:bookmarkEnd w:id="0"/>
      <w:r>
        <w:rPr>
          <w:rFonts w:hint="eastAsia" w:ascii="仿宋" w:hAnsi="仿宋" w:eastAsia="仿宋" w:cs="仿宋"/>
          <w:sz w:val="28"/>
          <w:szCs w:val="28"/>
          <w:lang w:eastAsia="zh-CN"/>
        </w:rPr>
        <w:t>交通费</w:t>
      </w:r>
      <w:r>
        <w:rPr>
          <w:rFonts w:hint="eastAsia" w:ascii="仿宋" w:hAnsi="仿宋" w:eastAsia="仿宋" w:cs="仿宋"/>
          <w:sz w:val="28"/>
          <w:szCs w:val="28"/>
        </w:rPr>
        <w:t>购买交通意外保险一份凭据报销。学院统一购买交通意外保险的，不再重复报销。</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出差购买机票，执行财政部、中国民用航空局印发的《关于加强公务机票购买管理有关事项的通知》（财库</w:t>
      </w:r>
      <w:r>
        <w:rPr>
          <w:rFonts w:ascii="仿宋" w:hAnsi="仿宋" w:eastAsia="仿宋" w:cs="仿宋"/>
          <w:sz w:val="28"/>
          <w:szCs w:val="28"/>
        </w:rPr>
        <w:t>[2014]33</w:t>
      </w:r>
      <w:r>
        <w:rPr>
          <w:rFonts w:hint="eastAsia" w:ascii="仿宋" w:hAnsi="仿宋" w:eastAsia="仿宋" w:cs="仿宋"/>
          <w:sz w:val="28"/>
          <w:szCs w:val="28"/>
        </w:rPr>
        <w:t>号）规定。报销时提供《行程单》《机票查验单》，通过其他途径购买的，提供购买时点政府采购机票管理网站同时刻同航班舱位的价格截图材料，以证明购买价低于优惠价，作为报销凭证附件。</w:t>
      </w:r>
    </w:p>
    <w:p>
      <w:pPr>
        <w:spacing w:line="360" w:lineRule="auto"/>
        <w:ind w:firstLine="560" w:firstLineChars="20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住宿费</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住宿费是指工作人员因公出差期间入住宾馆（包括饭店、招待所，下同）发生的房租费用。</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厅局级及相当职务人员住单间或标准间；处级及以下人员住标准间。</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出差住宿费限额标准按照财政部《关于调整中央和国家机关差旅住宿费标准等有关问题的通知》（财行</w:t>
      </w:r>
      <w:r>
        <w:rPr>
          <w:rFonts w:ascii="仿宋" w:hAnsi="仿宋" w:eastAsia="仿宋" w:cs="仿宋"/>
          <w:sz w:val="28"/>
          <w:szCs w:val="28"/>
        </w:rPr>
        <w:t>[2015]497</w:t>
      </w:r>
      <w:r>
        <w:rPr>
          <w:rFonts w:hint="eastAsia" w:ascii="仿宋" w:hAnsi="仿宋" w:eastAsia="仿宋" w:cs="仿宋"/>
          <w:sz w:val="28"/>
          <w:szCs w:val="28"/>
        </w:rPr>
        <w:t>号）规定执行。</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住宿费按照开具的发票，在规定的限额标准内据实报销，超支部分自理。</w:t>
      </w:r>
    </w:p>
    <w:p>
      <w:pPr>
        <w:pStyle w:val="9"/>
        <w:numPr>
          <w:ilvl w:val="0"/>
          <w:numId w:val="3"/>
        </w:numPr>
        <w:spacing w:line="360" w:lineRule="auto"/>
        <w:ind w:left="0" w:firstLine="560"/>
        <w:rPr>
          <w:rFonts w:ascii="仿宋" w:hAnsi="仿宋" w:eastAsia="仿宋" w:cs="仿宋"/>
          <w:sz w:val="28"/>
          <w:szCs w:val="28"/>
        </w:rPr>
      </w:pPr>
      <w:r>
        <w:rPr>
          <w:rFonts w:hint="eastAsia" w:ascii="仿宋" w:hAnsi="仿宋" w:eastAsia="仿宋" w:cs="仿宋"/>
          <w:sz w:val="28"/>
          <w:szCs w:val="28"/>
        </w:rPr>
        <w:t>住宿费发票应注明住宿天数、人数、单价等基本信息，以便判断住宿费是否符合标准。如因宾馆客观条件限制无法在发票上体现住宿天数、人数、单价，出差人应实事求是在发票票面予以注明并签字确认。</w:t>
      </w:r>
    </w:p>
    <w:p>
      <w:pPr>
        <w:pStyle w:val="9"/>
        <w:spacing w:line="360" w:lineRule="auto"/>
        <w:ind w:left="2520" w:firstLine="56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伙食补助费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第十六条</w:t>
      </w:r>
      <w:r>
        <w:rPr>
          <w:rFonts w:ascii="仿宋" w:hAnsi="仿宋" w:eastAsia="仿宋" w:cs="仿宋"/>
          <w:sz w:val="28"/>
          <w:szCs w:val="28"/>
        </w:rPr>
        <w:t xml:space="preserve">  </w:t>
      </w:r>
      <w:r>
        <w:rPr>
          <w:rFonts w:hint="eastAsia" w:ascii="仿宋" w:hAnsi="仿宋" w:eastAsia="仿宋" w:cs="仿宋"/>
          <w:sz w:val="28"/>
          <w:szCs w:val="28"/>
        </w:rPr>
        <w:t>伙食补助费是指对工作人员在因公出差期间给予的伙食补助费用。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第十七条</w:t>
      </w:r>
      <w:r>
        <w:rPr>
          <w:rFonts w:ascii="仿宋" w:hAnsi="仿宋" w:eastAsia="仿宋" w:cs="仿宋"/>
          <w:sz w:val="28"/>
          <w:szCs w:val="28"/>
        </w:rPr>
        <w:t xml:space="preserve">  </w:t>
      </w:r>
      <w:r>
        <w:rPr>
          <w:rFonts w:hint="eastAsia" w:ascii="仿宋" w:hAnsi="仿宋" w:eastAsia="仿宋" w:cs="仿宋"/>
          <w:sz w:val="28"/>
          <w:szCs w:val="28"/>
        </w:rPr>
        <w:t>伙食补助费按出差自然（日历）天数计算，省内出差按每人每天</w:t>
      </w:r>
      <w:r>
        <w:rPr>
          <w:rFonts w:ascii="仿宋" w:hAnsi="仿宋" w:eastAsia="仿宋" w:cs="仿宋"/>
          <w:sz w:val="28"/>
          <w:szCs w:val="28"/>
        </w:rPr>
        <w:t>100</w:t>
      </w:r>
      <w:r>
        <w:rPr>
          <w:rFonts w:hint="eastAsia" w:ascii="仿宋" w:hAnsi="仿宋" w:eastAsia="仿宋" w:cs="仿宋"/>
          <w:sz w:val="28"/>
          <w:szCs w:val="28"/>
        </w:rPr>
        <w:t>元标准包干使用；省外出差按照出差目的地的标准补助，除西藏、青海、新疆等地标准为每人每天</w:t>
      </w:r>
      <w:r>
        <w:rPr>
          <w:rFonts w:ascii="仿宋" w:hAnsi="仿宋" w:eastAsia="仿宋" w:cs="仿宋"/>
          <w:sz w:val="28"/>
          <w:szCs w:val="28"/>
        </w:rPr>
        <w:t>120</w:t>
      </w:r>
      <w:r>
        <w:rPr>
          <w:rFonts w:hint="eastAsia" w:ascii="仿宋" w:hAnsi="仿宋" w:eastAsia="仿宋" w:cs="仿宋"/>
          <w:sz w:val="28"/>
          <w:szCs w:val="28"/>
        </w:rPr>
        <w:t>元外，其他城市标准为每人每天</w:t>
      </w:r>
      <w:r>
        <w:rPr>
          <w:rFonts w:ascii="仿宋" w:hAnsi="仿宋" w:eastAsia="仿宋" w:cs="仿宋"/>
          <w:sz w:val="28"/>
          <w:szCs w:val="28"/>
        </w:rPr>
        <w:t>100</w:t>
      </w:r>
      <w:r>
        <w:rPr>
          <w:rFonts w:hint="eastAsia" w:ascii="仿宋" w:hAnsi="仿宋" w:eastAsia="仿宋" w:cs="仿宋"/>
          <w:sz w:val="28"/>
          <w:szCs w:val="28"/>
        </w:rPr>
        <w:t>元。在途期间的伙食补助费按照当天最后到达目的地的标准包干使用。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第十八条</w:t>
      </w:r>
      <w:r>
        <w:rPr>
          <w:rFonts w:ascii="仿宋" w:hAnsi="仿宋" w:eastAsia="仿宋" w:cs="仿宋"/>
          <w:sz w:val="28"/>
          <w:szCs w:val="28"/>
        </w:rPr>
        <w:t xml:space="preserve"> </w:t>
      </w:r>
      <w:r>
        <w:rPr>
          <w:rFonts w:hint="eastAsia" w:ascii="仿宋" w:hAnsi="仿宋" w:eastAsia="仿宋" w:cs="仿宋"/>
          <w:sz w:val="28"/>
          <w:szCs w:val="28"/>
        </w:rPr>
        <w:t>出差人员应当自行用餐。凡由接待单位统一安排用餐，出差人员应当向接待单位交纳伙食费。</w:t>
      </w:r>
    </w:p>
    <w:p>
      <w:pPr>
        <w:spacing w:line="360" w:lineRule="auto"/>
        <w:ind w:firstLine="560" w:firstLineChars="20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市内交通费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第十九条</w:t>
      </w:r>
      <w:r>
        <w:rPr>
          <w:rFonts w:ascii="仿宋" w:hAnsi="仿宋" w:eastAsia="仿宋" w:cs="仿宋"/>
          <w:sz w:val="28"/>
          <w:szCs w:val="28"/>
        </w:rPr>
        <w:t xml:space="preserve"> </w:t>
      </w:r>
      <w:r>
        <w:rPr>
          <w:rFonts w:hint="eastAsia" w:ascii="仿宋" w:hAnsi="仿宋" w:eastAsia="仿宋" w:cs="仿宋"/>
          <w:sz w:val="28"/>
          <w:szCs w:val="28"/>
        </w:rPr>
        <w:t>市内交通费是指工作人员因公出差期间发生的市内交通费用。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第二十条</w:t>
      </w:r>
      <w:r>
        <w:rPr>
          <w:rFonts w:ascii="仿宋" w:hAnsi="仿宋" w:eastAsia="仿宋" w:cs="仿宋"/>
          <w:sz w:val="28"/>
          <w:szCs w:val="28"/>
        </w:rPr>
        <w:t xml:space="preserve"> </w:t>
      </w:r>
      <w:r>
        <w:rPr>
          <w:rFonts w:hint="eastAsia" w:ascii="仿宋" w:hAnsi="仿宋" w:eastAsia="仿宋" w:cs="仿宋"/>
          <w:sz w:val="28"/>
          <w:szCs w:val="28"/>
        </w:rPr>
        <w:t>市内交通费按出差自然（日历）天数计算，每人每天</w:t>
      </w:r>
      <w:r>
        <w:rPr>
          <w:rFonts w:ascii="仿宋" w:hAnsi="仿宋" w:eastAsia="仿宋" w:cs="仿宋"/>
          <w:sz w:val="28"/>
          <w:szCs w:val="28"/>
        </w:rPr>
        <w:t>80</w:t>
      </w:r>
      <w:r>
        <w:rPr>
          <w:rFonts w:hint="eastAsia" w:ascii="仿宋" w:hAnsi="仿宋" w:eastAsia="仿宋" w:cs="仿宋"/>
          <w:sz w:val="28"/>
          <w:szCs w:val="28"/>
        </w:rPr>
        <w:t>元包干使用。</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第二十一条</w:t>
      </w:r>
      <w:r>
        <w:rPr>
          <w:rFonts w:ascii="仿宋" w:hAnsi="仿宋" w:eastAsia="仿宋" w:cs="仿宋"/>
          <w:sz w:val="28"/>
          <w:szCs w:val="28"/>
        </w:rPr>
        <w:t xml:space="preserve"> </w:t>
      </w:r>
      <w:r>
        <w:rPr>
          <w:rFonts w:hint="eastAsia" w:ascii="仿宋" w:hAnsi="仿宋" w:eastAsia="仿宋" w:cs="仿宋"/>
          <w:sz w:val="28"/>
          <w:szCs w:val="28"/>
        </w:rPr>
        <w:t>出差人员由学院提供交通工具的，不得重复报销市内交通费。出差人员由接待单位或其他单位提供交通工具的，应向接待单位或其他单位交纳相关费用</w:t>
      </w:r>
      <w:r>
        <w:rPr>
          <w:rFonts w:hint="eastAsia" w:ascii="仿宋" w:hAnsi="仿宋" w:eastAsia="仿宋" w:cs="仿宋"/>
          <w:b/>
          <w:bCs/>
          <w:sz w:val="28"/>
          <w:szCs w:val="28"/>
        </w:rPr>
        <w:t>。</w:t>
      </w:r>
    </w:p>
    <w:p>
      <w:pPr>
        <w:spacing w:line="360" w:lineRule="auto"/>
        <w:ind w:firstLine="560" w:firstLineChars="200"/>
        <w:rPr>
          <w:rFonts w:ascii="仿宋" w:hAnsi="仿宋" w:eastAsia="仿宋" w:cs="仿宋"/>
          <w:sz w:val="28"/>
          <w:szCs w:val="28"/>
        </w:rPr>
      </w:pPr>
    </w:p>
    <w:p>
      <w:pPr>
        <w:pStyle w:val="9"/>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报销管理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第二十二条 </w:t>
      </w:r>
      <w:r>
        <w:rPr>
          <w:rFonts w:hint="eastAsia" w:ascii="仿宋" w:hAnsi="仿宋" w:eastAsia="仿宋" w:cs="仿宋"/>
          <w:sz w:val="28"/>
          <w:szCs w:val="28"/>
          <w:lang w:eastAsia="zh-CN"/>
        </w:rPr>
        <w:t>各</w:t>
      </w:r>
      <w:r>
        <w:rPr>
          <w:rFonts w:hint="eastAsia" w:ascii="仿宋" w:hAnsi="仿宋" w:eastAsia="仿宋" w:cs="仿宋"/>
          <w:sz w:val="28"/>
          <w:szCs w:val="28"/>
        </w:rPr>
        <w:t>部门</w:t>
      </w:r>
      <w:r>
        <w:rPr>
          <w:rFonts w:hint="eastAsia" w:ascii="仿宋" w:hAnsi="仿宋" w:eastAsia="仿宋" w:cs="仿宋"/>
          <w:sz w:val="28"/>
          <w:szCs w:val="28"/>
          <w:lang w:eastAsia="zh-CN"/>
        </w:rPr>
        <w:t>、各单位</w:t>
      </w:r>
      <w:r>
        <w:rPr>
          <w:rFonts w:hint="eastAsia" w:ascii="仿宋" w:hAnsi="仿宋" w:eastAsia="仿宋" w:cs="仿宋"/>
          <w:sz w:val="28"/>
          <w:szCs w:val="28"/>
        </w:rPr>
        <w:t>安排的出差，由出差人填制《山西林业职业技术学院工作人员出差审批表》，按以下规定办理审批手续：院长和书记出差相互审批；副院级领导出差由院长或书记审批；部门负责人出差，经分管院领导同意后，由院长或书记审批；其他人员出差由部门负责人审批后，再经分管院领导审批。出差人员审批后将审批单送到财务处备案，以便及时安排支付计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第二十三条</w:t>
      </w:r>
      <w:r>
        <w:rPr>
          <w:rFonts w:ascii="仿宋" w:hAnsi="仿宋" w:eastAsia="仿宋" w:cs="仿宋"/>
          <w:sz w:val="28"/>
          <w:szCs w:val="28"/>
        </w:rPr>
        <w:t xml:space="preserve">  </w:t>
      </w:r>
      <w:r>
        <w:rPr>
          <w:rFonts w:hint="eastAsia" w:ascii="仿宋" w:hAnsi="仿宋" w:eastAsia="仿宋" w:cs="仿宋"/>
          <w:sz w:val="28"/>
          <w:szCs w:val="28"/>
        </w:rPr>
        <w:t>出差人员应当严格按规定开支差旅费，一般应当在出差结束后两周内办理报销手续，出差期间所发生的费用应当连同当次差旅费同时报销，事后不得补报。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出差人员差旅费报销时应当提供出差审批单、机票、机票查验单、车票、住宿费发票等凭证。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住宿费、机票、车票支出等按规定用公务卡结算（</w:t>
      </w:r>
      <w:r>
        <w:rPr>
          <w:rFonts w:ascii="仿宋" w:hAnsi="仿宋" w:eastAsia="仿宋" w:cs="仿宋"/>
          <w:sz w:val="28"/>
          <w:szCs w:val="28"/>
        </w:rPr>
        <w:t>300</w:t>
      </w:r>
      <w:r>
        <w:rPr>
          <w:rFonts w:hint="eastAsia" w:ascii="仿宋" w:hAnsi="仿宋" w:eastAsia="仿宋" w:cs="仿宋"/>
          <w:sz w:val="28"/>
          <w:szCs w:val="28"/>
        </w:rPr>
        <w:t>元以上）。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第二十四条</w:t>
      </w:r>
      <w:r>
        <w:rPr>
          <w:rFonts w:ascii="仿宋" w:hAnsi="仿宋" w:eastAsia="仿宋" w:cs="仿宋"/>
          <w:sz w:val="28"/>
          <w:szCs w:val="28"/>
        </w:rPr>
        <w:t xml:space="preserve"> </w:t>
      </w:r>
      <w:r>
        <w:rPr>
          <w:rFonts w:hint="eastAsia" w:ascii="仿宋" w:hAnsi="仿宋" w:eastAsia="仿宋" w:cs="仿宋"/>
          <w:sz w:val="28"/>
          <w:szCs w:val="28"/>
        </w:rPr>
        <w:t>出差人员出差期间的城市间交通费和食宿费由其他单位负担的，出差人员参加会议及培训需交纳会务费与培训费的，不计发伙食补助费、市内交通费。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第二十五条</w:t>
      </w:r>
      <w:r>
        <w:rPr>
          <w:rFonts w:ascii="仿宋" w:hAnsi="仿宋" w:eastAsia="仿宋" w:cs="仿宋"/>
          <w:sz w:val="28"/>
          <w:szCs w:val="28"/>
        </w:rPr>
        <w:t xml:space="preserve"> </w:t>
      </w:r>
      <w:r>
        <w:rPr>
          <w:rFonts w:hint="eastAsia" w:ascii="仿宋" w:hAnsi="仿宋" w:eastAsia="仿宋" w:cs="仿宋"/>
          <w:sz w:val="28"/>
          <w:szCs w:val="28"/>
        </w:rPr>
        <w:t>出差人员应凭住宿费发票和城市间交通费票据计发伙食补助费和市内交通费。对于实际发生住宿而无法取得相关票据的，按下列规定报销：</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（一）与其他单位开展教学科研合作，对方单位提供住宿的，凭合作单位提供的有效证明，按级别标准凭票据实报销城市间交通费，按规定标准给予伙食补助费和市内交通费。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开展野外调研、社会调查、环境监测、学生实习、科研考察工作，住在农户、科研基地、农场、林场等不收取住宿费或不能取得住宿费发票的，提供住宿情况说明并依据有关凭据，经院领导批准，按级别标准凭票据实报销城市间交通费，按规定标准给予伙食补助费和市内交通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到常驻地以外参加会议、培训的，由举办单位统一安排食宿且由举办单位承担或由参加者付费后回学院报销的，食宿费凭举办单位出具的有效证明据实报销，伙食补助费和市内交通费按在途自然天数计算，会议、培训期间不再计发伙食补助费和市内交通费；举办单位不承担伙食费用的，凭有效证明按照出差自然天数计伙食补助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第二十六条</w:t>
      </w:r>
      <w:r>
        <w:rPr>
          <w:rFonts w:ascii="仿宋" w:hAnsi="仿宋" w:eastAsia="仿宋" w:cs="仿宋"/>
          <w:sz w:val="28"/>
          <w:szCs w:val="28"/>
        </w:rPr>
        <w:t xml:space="preserve">  </w:t>
      </w:r>
      <w:r>
        <w:rPr>
          <w:rFonts w:hint="eastAsia" w:ascii="仿宋" w:hAnsi="仿宋" w:eastAsia="仿宋" w:cs="仿宋"/>
          <w:sz w:val="28"/>
          <w:szCs w:val="28"/>
        </w:rPr>
        <w:t>教职工在出差期间因私前往其他城市或地区的，需提供经院领导批准的请销假手续。城市间交通费按不高于从出差目的地返回单位按规定乘坐相应交通工具的票价予以报销，超出部分自理；伙食补助费和市内交通费按公务实际时间和规定标准计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第二十七条</w:t>
      </w:r>
      <w:r>
        <w:rPr>
          <w:rFonts w:ascii="仿宋" w:hAnsi="仿宋" w:eastAsia="仿宋" w:cs="仿宋"/>
          <w:sz w:val="28"/>
          <w:szCs w:val="28"/>
        </w:rPr>
        <w:t xml:space="preserve"> </w:t>
      </w:r>
      <w:r>
        <w:rPr>
          <w:rFonts w:hint="eastAsia" w:ascii="仿宋" w:hAnsi="仿宋" w:eastAsia="仿宋" w:cs="仿宋"/>
          <w:sz w:val="28"/>
          <w:szCs w:val="28"/>
        </w:rPr>
        <w:t>出差人员因公出差应选择公共交通出行，各类经费均不报销与自驾有关的加油费、过路过桥通行费、停车费、保养维修等费用。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第二十八条</w:t>
      </w:r>
      <w:r>
        <w:rPr>
          <w:rFonts w:ascii="仿宋" w:hAnsi="仿宋" w:eastAsia="仿宋" w:cs="仿宋"/>
          <w:sz w:val="28"/>
          <w:szCs w:val="28"/>
        </w:rPr>
        <w:t xml:space="preserve"> </w:t>
      </w:r>
      <w:r>
        <w:rPr>
          <w:rFonts w:hint="eastAsia" w:ascii="仿宋" w:hAnsi="仿宋" w:eastAsia="仿宋" w:cs="仿宋"/>
          <w:sz w:val="28"/>
          <w:szCs w:val="28"/>
        </w:rPr>
        <w:t>因工作需要邀请学者、专家或有关校外人员来校交流并明确承担差旅费用的，按差旅费规定报销受邀人员城市间交通费，在住宿费定额标准范围内凭票报销住宿费，不再计发伙食补助费、市内交通费。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第二十九条</w:t>
      </w:r>
      <w:r>
        <w:rPr>
          <w:rFonts w:ascii="仿宋" w:hAnsi="仿宋" w:eastAsia="仿宋" w:cs="仿宋"/>
          <w:sz w:val="28"/>
          <w:szCs w:val="28"/>
        </w:rPr>
        <w:t xml:space="preserve">  </w:t>
      </w:r>
      <w:r>
        <w:rPr>
          <w:rFonts w:hint="eastAsia" w:ascii="仿宋" w:hAnsi="仿宋" w:eastAsia="仿宋" w:cs="仿宋"/>
          <w:sz w:val="28"/>
          <w:szCs w:val="28"/>
        </w:rPr>
        <w:t>学生参与教学科研活动、技能大赛期间所发生的差旅费，城市间交通费与住宿费按照“其他人员”差旅费标准执行，伙食和市内交通补助按规定标准的</w:t>
      </w:r>
      <w:r>
        <w:rPr>
          <w:rFonts w:ascii="仿宋" w:hAnsi="仿宋" w:eastAsia="仿宋" w:cs="仿宋"/>
          <w:sz w:val="28"/>
          <w:szCs w:val="28"/>
        </w:rPr>
        <w:t>50%</w:t>
      </w:r>
      <w:r>
        <w:rPr>
          <w:rFonts w:hint="eastAsia" w:ascii="仿宋" w:hAnsi="仿宋" w:eastAsia="仿宋" w:cs="仿宋"/>
          <w:sz w:val="28"/>
          <w:szCs w:val="28"/>
        </w:rPr>
        <w:t>执行。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第三十条  到太原市区以外挂职锻炼和参加支援工作的人员，在途期间的住宿费、伙食补助费和市内交通费按照</w:t>
      </w:r>
      <w:r>
        <w:rPr>
          <w:rFonts w:hint="eastAsia" w:ascii="仿宋" w:hAnsi="仿宋" w:eastAsia="仿宋" w:cs="仿宋"/>
          <w:sz w:val="28"/>
          <w:szCs w:val="28"/>
          <w:lang w:eastAsia="zh-CN"/>
        </w:rPr>
        <w:t>国家与省相关规定执行</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监督问责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第三十一条</w:t>
      </w:r>
      <w:r>
        <w:rPr>
          <w:rFonts w:ascii="仿宋" w:hAnsi="仿宋" w:eastAsia="仿宋" w:cs="仿宋"/>
          <w:sz w:val="28"/>
          <w:szCs w:val="28"/>
        </w:rPr>
        <w:t xml:space="preserve">  </w:t>
      </w:r>
      <w:r>
        <w:rPr>
          <w:rFonts w:hint="eastAsia" w:ascii="仿宋" w:hAnsi="仿宋" w:eastAsia="仿宋" w:cs="仿宋"/>
          <w:sz w:val="28"/>
          <w:szCs w:val="28"/>
        </w:rPr>
        <w:t>学院各部门、各单位应当加强教职工出差活动和经费报销的内控管理，各部门负责人对本部门出差审批、差旅费预算及规模控制负责。各部门负责人、项目负责人和相关经办人确保票据来源合法，内容真实完整、合规。规划财务处负责审核票据的合法性、合规性。分管院领导要对出差事由、出差人数、出差频率等从严把关，控制差旅费支出规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对未经批准擅自出差、不按规定开支和违反差旅费管理制度等报销差旅费的人员，一经发现要严肃处理。出差人员要自觉接受纪检及审计部门对出差活动及相关经费支出的审计监督。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学院规划财务处要积极配合学院纪检、审计部门定期对差旅费管理和使用情况进行监督检查，主要内容包括出差审批手续、差旅费开支范围和标准、是否符合报销规定、是否存在转嫁差旅费的情况等。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学院规划财务处要</w:t>
      </w:r>
      <w:r>
        <w:rPr>
          <w:rFonts w:hint="eastAsia" w:ascii="仿宋" w:hAnsi="仿宋" w:eastAsia="仿宋" w:cs="仿宋"/>
          <w:sz w:val="28"/>
          <w:szCs w:val="28"/>
          <w:lang w:eastAsia="zh-CN"/>
        </w:rPr>
        <w:t>每年按</w:t>
      </w:r>
      <w:r>
        <w:rPr>
          <w:rFonts w:hint="eastAsia" w:ascii="仿宋" w:hAnsi="仿宋" w:eastAsia="仿宋" w:cs="仿宋"/>
          <w:sz w:val="28"/>
          <w:szCs w:val="28"/>
        </w:rPr>
        <w:t>规定时间将上年度差旅费开支情况报送省</w:t>
      </w:r>
      <w:r>
        <w:rPr>
          <w:rFonts w:hint="eastAsia" w:ascii="仿宋" w:hAnsi="仿宋" w:eastAsia="仿宋" w:cs="仿宋"/>
          <w:sz w:val="28"/>
          <w:szCs w:val="28"/>
          <w:lang w:eastAsia="zh-CN"/>
        </w:rPr>
        <w:t>上级部门</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第三十二条</w:t>
      </w:r>
      <w:r>
        <w:rPr>
          <w:rFonts w:ascii="仿宋" w:hAnsi="仿宋" w:eastAsia="仿宋" w:cs="仿宋"/>
          <w:sz w:val="28"/>
          <w:szCs w:val="28"/>
        </w:rPr>
        <w:t xml:space="preserve">  </w:t>
      </w:r>
      <w:r>
        <w:rPr>
          <w:rFonts w:hint="eastAsia" w:ascii="仿宋" w:hAnsi="仿宋" w:eastAsia="仿宋" w:cs="仿宋"/>
          <w:sz w:val="28"/>
          <w:szCs w:val="28"/>
        </w:rPr>
        <w:t>出差人员不得向接待单位提出正常公务活动以外的要求，不得在出差期间接受违反规定用公款支付的宴请、游览和非工作需要的参观，不得接受礼品、礼金和土特产品等。</w:t>
      </w:r>
    </w:p>
    <w:p>
      <w:pPr>
        <w:spacing w:line="360" w:lineRule="auto"/>
        <w:ind w:firstLine="560" w:firstLineChars="200"/>
        <w:rPr>
          <w:rFonts w:ascii="仿宋" w:hAnsi="仿宋" w:eastAsia="仿宋" w:cs="仿宋"/>
          <w:sz w:val="28"/>
          <w:szCs w:val="28"/>
        </w:rPr>
      </w:pPr>
    </w:p>
    <w:p>
      <w:pPr>
        <w:pStyle w:val="8"/>
        <w:numPr>
          <w:ilvl w:val="0"/>
          <w:numId w:val="1"/>
        </w:numPr>
        <w:spacing w:line="360" w:lineRule="auto"/>
        <w:ind w:left="0" w:firstLine="0" w:firstLineChars="0"/>
        <w:jc w:val="center"/>
        <w:rPr>
          <w:rFonts w:ascii="仿宋" w:hAnsi="仿宋" w:eastAsia="仿宋" w:cs="仿宋"/>
          <w:b/>
          <w:bCs/>
          <w:sz w:val="28"/>
          <w:szCs w:val="28"/>
        </w:rPr>
      </w:pPr>
      <w:r>
        <w:rPr>
          <w:rFonts w:hint="eastAsia" w:ascii="仿宋" w:hAnsi="仿宋" w:eastAsia="仿宋" w:cs="仿宋"/>
          <w:b/>
          <w:bCs/>
          <w:sz w:val="28"/>
          <w:szCs w:val="28"/>
        </w:rPr>
        <w:t>附则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第三十三条</w:t>
      </w:r>
      <w:r>
        <w:rPr>
          <w:rFonts w:ascii="仿宋" w:hAnsi="仿宋" w:eastAsia="仿宋" w:cs="仿宋"/>
          <w:sz w:val="28"/>
          <w:szCs w:val="28"/>
        </w:rPr>
        <w:t xml:space="preserve">  </w:t>
      </w:r>
      <w:r>
        <w:rPr>
          <w:rFonts w:hint="eastAsia" w:ascii="仿宋" w:hAnsi="仿宋" w:eastAsia="仿宋" w:cs="仿宋"/>
          <w:sz w:val="28"/>
          <w:szCs w:val="28"/>
        </w:rPr>
        <w:t>本办法由规划财务处负责解释。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第三十四条</w:t>
      </w:r>
      <w:r>
        <w:rPr>
          <w:rFonts w:ascii="仿宋" w:hAnsi="仿宋" w:eastAsia="仿宋" w:cs="仿宋"/>
          <w:sz w:val="28"/>
          <w:szCs w:val="28"/>
        </w:rPr>
        <w:t xml:space="preserve">  </w:t>
      </w:r>
      <w:r>
        <w:rPr>
          <w:rFonts w:hint="eastAsia" w:ascii="仿宋" w:hAnsi="仿宋" w:eastAsia="仿宋" w:cs="仿宋"/>
          <w:sz w:val="28"/>
          <w:szCs w:val="28"/>
        </w:rPr>
        <w:t>本办法自发文之日起施行。</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rPr>
        <w:t>：《关于调整中央和国家机关差旅住宿费标准等有关问题的通知》（财行【</w:t>
      </w:r>
      <w:r>
        <w:rPr>
          <w:rFonts w:ascii="仿宋" w:hAnsi="仿宋" w:eastAsia="仿宋" w:cs="仿宋"/>
          <w:sz w:val="28"/>
          <w:szCs w:val="28"/>
        </w:rPr>
        <w:t>2015</w:t>
      </w:r>
      <w:r>
        <w:rPr>
          <w:rFonts w:hint="eastAsia" w:ascii="仿宋" w:hAnsi="仿宋" w:eastAsia="仿宋" w:cs="仿宋"/>
          <w:sz w:val="28"/>
          <w:szCs w:val="28"/>
        </w:rPr>
        <w:t>】</w:t>
      </w:r>
      <w:r>
        <w:rPr>
          <w:rFonts w:ascii="仿宋" w:hAnsi="仿宋" w:eastAsia="仿宋" w:cs="仿宋"/>
          <w:sz w:val="28"/>
          <w:szCs w:val="28"/>
        </w:rPr>
        <w:t>497</w:t>
      </w:r>
      <w:r>
        <w:rPr>
          <w:rFonts w:hint="eastAsia" w:ascii="仿宋" w:hAnsi="仿宋" w:eastAsia="仿宋" w:cs="仿宋"/>
          <w:sz w:val="28"/>
          <w:szCs w:val="28"/>
        </w:rPr>
        <w:t>号）</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p>
    <w:p>
      <w:pPr>
        <w:spacing w:line="360" w:lineRule="auto"/>
        <w:ind w:firstLine="980" w:firstLineChars="350"/>
        <w:rPr>
          <w:rFonts w:ascii="仿宋" w:hAnsi="仿宋" w:eastAsia="仿宋" w:cs="仿宋"/>
          <w:sz w:val="28"/>
          <w:szCs w:val="28"/>
        </w:rPr>
      </w:pPr>
    </w:p>
    <w:p>
      <w:pPr>
        <w:spacing w:line="360" w:lineRule="auto"/>
        <w:ind w:firstLine="6020" w:firstLineChars="2150"/>
        <w:jc w:val="left"/>
        <w:rPr>
          <w:rFonts w:ascii="仿宋" w:hAnsi="仿宋" w:eastAsia="仿宋" w:cs="仿宋"/>
          <w:sz w:val="28"/>
          <w:szCs w:val="28"/>
        </w:rPr>
      </w:pPr>
      <w:r>
        <w:rPr>
          <w:rFonts w:ascii="仿宋" w:hAnsi="仿宋" w:eastAsia="仿宋" w:cs="仿宋"/>
          <w:sz w:val="28"/>
          <w:szCs w:val="28"/>
        </w:rPr>
        <w:t>2017</w:t>
      </w:r>
      <w:r>
        <w:rPr>
          <w:rFonts w:hint="eastAsia" w:ascii="仿宋" w:hAnsi="仿宋" w:eastAsia="仿宋" w:cs="仿宋"/>
          <w:sz w:val="28"/>
          <w:szCs w:val="28"/>
        </w:rPr>
        <w:t>年</w:t>
      </w:r>
      <w:r>
        <w:rPr>
          <w:rFonts w:ascii="仿宋" w:hAnsi="仿宋" w:eastAsia="仿宋" w:cs="仿宋"/>
          <w:sz w:val="28"/>
          <w:szCs w:val="28"/>
        </w:rPr>
        <w:t>5</w:t>
      </w:r>
      <w:r>
        <w:rPr>
          <w:rFonts w:hint="eastAsia" w:ascii="仿宋" w:hAnsi="仿宋" w:eastAsia="仿宋" w:cs="仿宋"/>
          <w:sz w:val="28"/>
          <w:szCs w:val="28"/>
        </w:rPr>
        <w:t>月</w:t>
      </w:r>
      <w:r>
        <w:rPr>
          <w:rFonts w:ascii="仿宋" w:hAnsi="仿宋" w:eastAsia="仿宋" w:cs="仿宋"/>
          <w:sz w:val="28"/>
          <w:szCs w:val="28"/>
        </w:rPr>
        <w:t>5</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ind w:firstLine="6020" w:firstLineChars="2150"/>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5A5"/>
    <w:multiLevelType w:val="multilevel"/>
    <w:tmpl w:val="116D35A5"/>
    <w:lvl w:ilvl="0" w:tentative="0">
      <w:start w:val="1"/>
      <w:numFmt w:val="japaneseCounting"/>
      <w:lvlText w:val="第%1条"/>
      <w:lvlJc w:val="left"/>
      <w:pPr>
        <w:ind w:left="1665" w:hanging="840"/>
      </w:pPr>
      <w:rPr>
        <w:rFonts w:hint="default" w:cs="Times New Roman"/>
      </w:rPr>
    </w:lvl>
    <w:lvl w:ilvl="1" w:tentative="0">
      <w:start w:val="1"/>
      <w:numFmt w:val="lowerLetter"/>
      <w:lvlText w:val="%2)"/>
      <w:lvlJc w:val="left"/>
      <w:pPr>
        <w:ind w:left="1665" w:hanging="420"/>
      </w:pPr>
      <w:rPr>
        <w:rFonts w:cs="Times New Roman"/>
      </w:rPr>
    </w:lvl>
    <w:lvl w:ilvl="2" w:tentative="0">
      <w:start w:val="1"/>
      <w:numFmt w:val="lowerRoman"/>
      <w:lvlText w:val="%3."/>
      <w:lvlJc w:val="right"/>
      <w:pPr>
        <w:ind w:left="2085" w:hanging="420"/>
      </w:pPr>
      <w:rPr>
        <w:rFonts w:cs="Times New Roman"/>
      </w:rPr>
    </w:lvl>
    <w:lvl w:ilvl="3" w:tentative="0">
      <w:start w:val="1"/>
      <w:numFmt w:val="decimal"/>
      <w:lvlText w:val="%4."/>
      <w:lvlJc w:val="left"/>
      <w:pPr>
        <w:ind w:left="2505" w:hanging="420"/>
      </w:pPr>
      <w:rPr>
        <w:rFonts w:cs="Times New Roman"/>
      </w:rPr>
    </w:lvl>
    <w:lvl w:ilvl="4" w:tentative="0">
      <w:start w:val="1"/>
      <w:numFmt w:val="lowerLetter"/>
      <w:lvlText w:val="%5)"/>
      <w:lvlJc w:val="left"/>
      <w:pPr>
        <w:ind w:left="2925" w:hanging="420"/>
      </w:pPr>
      <w:rPr>
        <w:rFonts w:cs="Times New Roman"/>
      </w:rPr>
    </w:lvl>
    <w:lvl w:ilvl="5" w:tentative="0">
      <w:start w:val="1"/>
      <w:numFmt w:val="lowerRoman"/>
      <w:lvlText w:val="%6."/>
      <w:lvlJc w:val="right"/>
      <w:pPr>
        <w:ind w:left="3345" w:hanging="420"/>
      </w:pPr>
      <w:rPr>
        <w:rFonts w:cs="Times New Roman"/>
      </w:rPr>
    </w:lvl>
    <w:lvl w:ilvl="6" w:tentative="0">
      <w:start w:val="1"/>
      <w:numFmt w:val="decimal"/>
      <w:lvlText w:val="%7."/>
      <w:lvlJc w:val="left"/>
      <w:pPr>
        <w:ind w:left="3765" w:hanging="420"/>
      </w:pPr>
      <w:rPr>
        <w:rFonts w:cs="Times New Roman"/>
      </w:rPr>
    </w:lvl>
    <w:lvl w:ilvl="7" w:tentative="0">
      <w:start w:val="1"/>
      <w:numFmt w:val="lowerLetter"/>
      <w:lvlText w:val="%8)"/>
      <w:lvlJc w:val="left"/>
      <w:pPr>
        <w:ind w:left="4185" w:hanging="420"/>
      </w:pPr>
      <w:rPr>
        <w:rFonts w:cs="Times New Roman"/>
      </w:rPr>
    </w:lvl>
    <w:lvl w:ilvl="8" w:tentative="0">
      <w:start w:val="1"/>
      <w:numFmt w:val="lowerRoman"/>
      <w:lvlText w:val="%9."/>
      <w:lvlJc w:val="right"/>
      <w:pPr>
        <w:ind w:left="4605" w:hanging="420"/>
      </w:pPr>
      <w:rPr>
        <w:rFonts w:cs="Times New Roman"/>
      </w:rPr>
    </w:lvl>
  </w:abstractNum>
  <w:abstractNum w:abstractNumId="1">
    <w:nsid w:val="2D072A71"/>
    <w:multiLevelType w:val="multilevel"/>
    <w:tmpl w:val="2D072A71"/>
    <w:lvl w:ilvl="0" w:tentative="0">
      <w:start w:val="8"/>
      <w:numFmt w:val="japaneseCounting"/>
      <w:lvlText w:val="第%1条"/>
      <w:lvlJc w:val="left"/>
      <w:pPr>
        <w:ind w:left="2520" w:hanging="855"/>
      </w:pPr>
      <w:rPr>
        <w:rFonts w:hint="default" w:cs="Times New Roman"/>
      </w:rPr>
    </w:lvl>
    <w:lvl w:ilvl="1" w:tentative="0">
      <w:start w:val="1"/>
      <w:numFmt w:val="lowerLetter"/>
      <w:lvlText w:val="%2)"/>
      <w:lvlJc w:val="left"/>
      <w:pPr>
        <w:ind w:left="2505" w:hanging="420"/>
      </w:pPr>
      <w:rPr>
        <w:rFonts w:cs="Times New Roman"/>
      </w:rPr>
    </w:lvl>
    <w:lvl w:ilvl="2" w:tentative="0">
      <w:start w:val="1"/>
      <w:numFmt w:val="lowerRoman"/>
      <w:lvlText w:val="%3."/>
      <w:lvlJc w:val="right"/>
      <w:pPr>
        <w:ind w:left="2925" w:hanging="420"/>
      </w:pPr>
      <w:rPr>
        <w:rFonts w:cs="Times New Roman"/>
      </w:rPr>
    </w:lvl>
    <w:lvl w:ilvl="3" w:tentative="0">
      <w:start w:val="1"/>
      <w:numFmt w:val="decimal"/>
      <w:lvlText w:val="%4."/>
      <w:lvlJc w:val="left"/>
      <w:pPr>
        <w:ind w:left="3345" w:hanging="420"/>
      </w:pPr>
      <w:rPr>
        <w:rFonts w:cs="Times New Roman"/>
      </w:rPr>
    </w:lvl>
    <w:lvl w:ilvl="4" w:tentative="0">
      <w:start w:val="1"/>
      <w:numFmt w:val="lowerLetter"/>
      <w:lvlText w:val="%5)"/>
      <w:lvlJc w:val="left"/>
      <w:pPr>
        <w:ind w:left="3765" w:hanging="420"/>
      </w:pPr>
      <w:rPr>
        <w:rFonts w:cs="Times New Roman"/>
      </w:rPr>
    </w:lvl>
    <w:lvl w:ilvl="5" w:tentative="0">
      <w:start w:val="1"/>
      <w:numFmt w:val="lowerRoman"/>
      <w:lvlText w:val="%6."/>
      <w:lvlJc w:val="right"/>
      <w:pPr>
        <w:ind w:left="4185" w:hanging="420"/>
      </w:pPr>
      <w:rPr>
        <w:rFonts w:cs="Times New Roman"/>
      </w:rPr>
    </w:lvl>
    <w:lvl w:ilvl="6" w:tentative="0">
      <w:start w:val="1"/>
      <w:numFmt w:val="decimal"/>
      <w:lvlText w:val="%7."/>
      <w:lvlJc w:val="left"/>
      <w:pPr>
        <w:ind w:left="4605" w:hanging="420"/>
      </w:pPr>
      <w:rPr>
        <w:rFonts w:cs="Times New Roman"/>
      </w:rPr>
    </w:lvl>
    <w:lvl w:ilvl="7" w:tentative="0">
      <w:start w:val="1"/>
      <w:numFmt w:val="lowerLetter"/>
      <w:lvlText w:val="%8)"/>
      <w:lvlJc w:val="left"/>
      <w:pPr>
        <w:ind w:left="5025" w:hanging="420"/>
      </w:pPr>
      <w:rPr>
        <w:rFonts w:cs="Times New Roman"/>
      </w:rPr>
    </w:lvl>
    <w:lvl w:ilvl="8" w:tentative="0">
      <w:start w:val="1"/>
      <w:numFmt w:val="lowerRoman"/>
      <w:lvlText w:val="%9."/>
      <w:lvlJc w:val="right"/>
      <w:pPr>
        <w:ind w:left="5445" w:hanging="420"/>
      </w:pPr>
      <w:rPr>
        <w:rFonts w:cs="Times New Roman"/>
      </w:rPr>
    </w:lvl>
  </w:abstractNum>
  <w:abstractNum w:abstractNumId="2">
    <w:nsid w:val="53582F78"/>
    <w:multiLevelType w:val="multilevel"/>
    <w:tmpl w:val="53582F78"/>
    <w:lvl w:ilvl="0" w:tentative="0">
      <w:start w:val="1"/>
      <w:numFmt w:val="japaneseCounting"/>
      <w:lvlText w:val="第%1章"/>
      <w:lvlJc w:val="left"/>
      <w:pPr>
        <w:ind w:left="825" w:hanging="82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_{£¥´·֠܈‘“〈《「『【〔〖〝﹙﹛﹝＄（．［｛￡￥"/>
  <w:noLineBreaksBefore w:lang="zh-CN" w:val="!$%(),.:;&gt;?[]_{}¢£¥¨°·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E9"/>
    <w:rsid w:val="00017E9B"/>
    <w:rsid w:val="00067504"/>
    <w:rsid w:val="001010A3"/>
    <w:rsid w:val="001236DF"/>
    <w:rsid w:val="00134504"/>
    <w:rsid w:val="00286893"/>
    <w:rsid w:val="002F25FC"/>
    <w:rsid w:val="0030080A"/>
    <w:rsid w:val="00356950"/>
    <w:rsid w:val="003636D3"/>
    <w:rsid w:val="003E2D59"/>
    <w:rsid w:val="0040597D"/>
    <w:rsid w:val="0047475E"/>
    <w:rsid w:val="00490385"/>
    <w:rsid w:val="00505D9A"/>
    <w:rsid w:val="00543D52"/>
    <w:rsid w:val="00552550"/>
    <w:rsid w:val="005532C6"/>
    <w:rsid w:val="005A00C6"/>
    <w:rsid w:val="00643EF4"/>
    <w:rsid w:val="00756970"/>
    <w:rsid w:val="007A4FC4"/>
    <w:rsid w:val="007C70F3"/>
    <w:rsid w:val="007D313B"/>
    <w:rsid w:val="007E5737"/>
    <w:rsid w:val="00832DBA"/>
    <w:rsid w:val="0085682A"/>
    <w:rsid w:val="008643AE"/>
    <w:rsid w:val="008E2500"/>
    <w:rsid w:val="0096757F"/>
    <w:rsid w:val="009940E9"/>
    <w:rsid w:val="00994367"/>
    <w:rsid w:val="009B523E"/>
    <w:rsid w:val="009E30D8"/>
    <w:rsid w:val="00A205B7"/>
    <w:rsid w:val="00A33F40"/>
    <w:rsid w:val="00B24057"/>
    <w:rsid w:val="00B41386"/>
    <w:rsid w:val="00B750A4"/>
    <w:rsid w:val="00BB13AE"/>
    <w:rsid w:val="00BF41D1"/>
    <w:rsid w:val="00C80D31"/>
    <w:rsid w:val="00D23712"/>
    <w:rsid w:val="00D343F1"/>
    <w:rsid w:val="00D85AC1"/>
    <w:rsid w:val="00F12457"/>
    <w:rsid w:val="00F5103D"/>
    <w:rsid w:val="00FB0F51"/>
    <w:rsid w:val="00FF7740"/>
    <w:rsid w:val="01D634B0"/>
    <w:rsid w:val="071139DB"/>
    <w:rsid w:val="0B15464B"/>
    <w:rsid w:val="1B633A4F"/>
    <w:rsid w:val="2D275977"/>
    <w:rsid w:val="3A544132"/>
    <w:rsid w:val="3A955F4D"/>
    <w:rsid w:val="5635650A"/>
    <w:rsid w:val="5CEB6A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_Style 1"/>
    <w:basedOn w:val="1"/>
    <w:qFormat/>
    <w:uiPriority w:val="99"/>
    <w:pPr>
      <w:ind w:firstLine="420" w:firstLineChars="200"/>
    </w:pPr>
  </w:style>
  <w:style w:type="paragraph" w:customStyle="1" w:styleId="9">
    <w:name w:val="列出段落1"/>
    <w:basedOn w:val="1"/>
    <w:qFormat/>
    <w:uiPriority w:val="99"/>
    <w:pPr>
      <w:ind w:firstLine="420" w:firstLineChars="200"/>
    </w:pPr>
  </w:style>
  <w:style w:type="character" w:customStyle="1" w:styleId="10">
    <w:name w:val="页眉 Char"/>
    <w:link w:val="4"/>
    <w:semiHidden/>
    <w:qFormat/>
    <w:uiPriority w:val="99"/>
    <w:rPr>
      <w:sz w:val="18"/>
      <w:szCs w:val="18"/>
    </w:rPr>
  </w:style>
  <w:style w:type="character" w:customStyle="1" w:styleId="11">
    <w:name w:val="页脚 Char"/>
    <w:link w:val="3"/>
    <w:semiHidden/>
    <w:qFormat/>
    <w:uiPriority w:val="99"/>
    <w:rPr>
      <w:sz w:val="18"/>
      <w:szCs w:val="18"/>
    </w:rPr>
  </w:style>
  <w:style w:type="character" w:customStyle="1" w:styleId="12">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534</Words>
  <Characters>3044</Characters>
  <Lines>25</Lines>
  <Paragraphs>7</Paragraphs>
  <ScaleCrop>false</ScaleCrop>
  <LinksUpToDate>false</LinksUpToDate>
  <CharactersWithSpaces>3571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2017-09-15T03:20:00Z</dcterms:created>
  <dc:creator>Administrator</dc:creator>
  <cp:lastModifiedBy>Administrator</cp:lastModifiedBy>
  <dcterms:modified xsi:type="dcterms:W3CDTF">2017-09-27T10:20:17Z</dcterms:modified>
  <dc:title>山西林业职业技术学院差旅费管理办法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