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56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287E26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Lines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“职教金课”建设标准</w:t>
      </w:r>
    </w:p>
    <w:tbl>
      <w:tblPr>
        <w:tblStyle w:val="2"/>
        <w:tblW w:w="9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067"/>
        <w:gridCol w:w="7236"/>
      </w:tblGrid>
      <w:tr w14:paraId="50666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65" w:type="dxa"/>
            <w:noWrap w:val="0"/>
            <w:vAlign w:val="center"/>
          </w:tcPr>
          <w:p w14:paraId="19F48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一级指标</w:t>
            </w:r>
          </w:p>
        </w:tc>
        <w:tc>
          <w:tcPr>
            <w:tcW w:w="1067" w:type="dxa"/>
            <w:noWrap w:val="0"/>
            <w:vAlign w:val="center"/>
          </w:tcPr>
          <w:p w14:paraId="6179E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二级指标</w:t>
            </w:r>
          </w:p>
        </w:tc>
        <w:tc>
          <w:tcPr>
            <w:tcW w:w="7236" w:type="dxa"/>
            <w:noWrap w:val="0"/>
            <w:vAlign w:val="center"/>
          </w:tcPr>
          <w:p w14:paraId="6C953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ind w:firstLine="1054" w:firstLineChars="5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建  设  标  准</w:t>
            </w:r>
          </w:p>
        </w:tc>
      </w:tr>
      <w:tr w14:paraId="4B7E2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65" w:type="dxa"/>
            <w:vMerge w:val="restart"/>
            <w:noWrap w:val="0"/>
            <w:vAlign w:val="center"/>
          </w:tcPr>
          <w:p w14:paraId="4C642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1.课程设置</w:t>
            </w:r>
          </w:p>
        </w:tc>
        <w:tc>
          <w:tcPr>
            <w:tcW w:w="1067" w:type="dxa"/>
            <w:noWrap w:val="0"/>
            <w:vAlign w:val="center"/>
          </w:tcPr>
          <w:p w14:paraId="4C660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1-1课程定位</w:t>
            </w:r>
          </w:p>
        </w:tc>
        <w:tc>
          <w:tcPr>
            <w:tcW w:w="7236" w:type="dxa"/>
            <w:noWrap w:val="0"/>
            <w:vAlign w:val="center"/>
          </w:tcPr>
          <w:p w14:paraId="6C3B1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程性质明确，落实立德树人根本任务、国家教学标准和学校专业人才培养方案，适应专业相关技术领域职业岗位要求与发展趋势；课程标准目标清晰、定位精准、体系完善，能落实和完成专业人才培养方案对相关职业素质和能力的培养任务，与前后课程衔接得当。</w:t>
            </w:r>
          </w:p>
        </w:tc>
      </w:tr>
      <w:tr w14:paraId="322D4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5" w:type="dxa"/>
            <w:vMerge w:val="continue"/>
            <w:noWrap w:val="0"/>
            <w:vAlign w:val="center"/>
          </w:tcPr>
          <w:p w14:paraId="7F7C2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227C3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1-2课程设计</w:t>
            </w:r>
          </w:p>
        </w:tc>
        <w:tc>
          <w:tcPr>
            <w:tcW w:w="7236" w:type="dxa"/>
            <w:noWrap w:val="0"/>
            <w:vAlign w:val="center"/>
          </w:tcPr>
          <w:p w14:paraId="441A8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课程设计体现现代职业教育理念，富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szCs w:val="21"/>
              </w:rPr>
              <w:t>职业教育特色；基于课程思政、职业能力培养，与行业企业合作进行开发与设计，突出课程的职业性、实践性和开放性，融入劳动教育、工匠精神、职业道德等内容，促进学生素质全面提高。</w:t>
            </w:r>
          </w:p>
        </w:tc>
      </w:tr>
      <w:tr w14:paraId="1F300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restart"/>
            <w:noWrap w:val="0"/>
            <w:vAlign w:val="center"/>
          </w:tcPr>
          <w:p w14:paraId="7CBB5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2.教学内容</w:t>
            </w:r>
          </w:p>
        </w:tc>
        <w:tc>
          <w:tcPr>
            <w:tcW w:w="1067" w:type="dxa"/>
            <w:noWrap w:val="0"/>
            <w:vAlign w:val="center"/>
          </w:tcPr>
          <w:p w14:paraId="2E7CF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2-1内容选取</w:t>
            </w:r>
          </w:p>
        </w:tc>
        <w:tc>
          <w:tcPr>
            <w:tcW w:w="7236" w:type="dxa"/>
            <w:noWrap w:val="0"/>
            <w:vAlign w:val="center"/>
          </w:tcPr>
          <w:p w14:paraId="5CA6C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根据行业企业发展需要和完成职业岗位实际工作任务所需要的素质、知识和能力要求选取教学内容，适应行业企业新技术、新业态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、新模式</w:t>
            </w:r>
            <w:r>
              <w:rPr>
                <w:rFonts w:hint="eastAsia" w:ascii="仿宋" w:hAnsi="仿宋" w:eastAsia="仿宋" w:cs="仿宋"/>
                <w:szCs w:val="21"/>
              </w:rPr>
              <w:t>发展需要；保证课程内容的正确性、科学性、实用性、先进性和技术信息的安全性，体现教学内容的价值引领。</w:t>
            </w:r>
          </w:p>
        </w:tc>
      </w:tr>
      <w:tr w14:paraId="6853B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65" w:type="dxa"/>
            <w:vMerge w:val="continue"/>
            <w:noWrap w:val="0"/>
            <w:vAlign w:val="center"/>
          </w:tcPr>
          <w:p w14:paraId="47195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66A71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2-2内容组织</w:t>
            </w:r>
          </w:p>
        </w:tc>
        <w:tc>
          <w:tcPr>
            <w:tcW w:w="7236" w:type="dxa"/>
            <w:noWrap w:val="0"/>
            <w:vAlign w:val="center"/>
          </w:tcPr>
          <w:p w14:paraId="20297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遵循学生职业素养、职业能力形成的基本规律，基于真实工作任务及其工作过程，整合、序化教学内容与思想政治教育因素，科学设计学习工作任务，教、学、做结合，理论与实践一体化实训学习等教学环节设计合理，落实教学目标。</w:t>
            </w:r>
          </w:p>
        </w:tc>
      </w:tr>
      <w:tr w14:paraId="6B8E8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65" w:type="dxa"/>
            <w:vMerge w:val="continue"/>
            <w:noWrap w:val="0"/>
            <w:vAlign w:val="center"/>
          </w:tcPr>
          <w:p w14:paraId="49B16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023CB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2-3表现形式</w:t>
            </w:r>
          </w:p>
        </w:tc>
        <w:tc>
          <w:tcPr>
            <w:tcW w:w="7236" w:type="dxa"/>
            <w:noWrap w:val="0"/>
            <w:vAlign w:val="center"/>
          </w:tcPr>
          <w:p w14:paraId="5C3C2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选用国家优秀教材、“十三五”“十四五”规划教材或与行业企业合作编写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Cs w:val="21"/>
              </w:rPr>
              <w:t>工学结合校本特色教材，课程标准（</w:t>
            </w:r>
            <w:r>
              <w:rPr>
                <w:rFonts w:ascii="仿宋" w:hAnsi="仿宋" w:eastAsia="仿宋" w:cs="仿宋"/>
                <w:szCs w:val="21"/>
              </w:rPr>
              <w:t>教学大纲</w:t>
            </w:r>
            <w:r>
              <w:rPr>
                <w:rFonts w:hint="eastAsia" w:ascii="仿宋" w:hAnsi="仿宋" w:eastAsia="仿宋" w:cs="仿宋"/>
                <w:szCs w:val="21"/>
              </w:rPr>
              <w:t>）</w:t>
            </w:r>
            <w:r>
              <w:rPr>
                <w:rFonts w:ascii="仿宋" w:hAnsi="仿宋" w:eastAsia="仿宋" w:cs="仿宋"/>
                <w:szCs w:val="21"/>
              </w:rPr>
              <w:t>、教案、习题、</w:t>
            </w:r>
            <w:r>
              <w:rPr>
                <w:rFonts w:hint="eastAsia" w:ascii="仿宋" w:hAnsi="仿宋" w:eastAsia="仿宋" w:cs="仿宋"/>
                <w:szCs w:val="21"/>
              </w:rPr>
              <w:t>微课、课件、案例、实习实训方案和实训</w:t>
            </w:r>
            <w:r>
              <w:rPr>
                <w:rFonts w:ascii="仿宋" w:hAnsi="仿宋" w:eastAsia="仿宋" w:cs="仿宋"/>
                <w:szCs w:val="21"/>
              </w:rPr>
              <w:t>指导</w:t>
            </w:r>
            <w:r>
              <w:rPr>
                <w:rFonts w:hint="eastAsia" w:ascii="仿宋" w:hAnsi="仿宋" w:eastAsia="仿宋" w:cs="仿宋"/>
                <w:szCs w:val="21"/>
              </w:rPr>
              <w:t>书</w:t>
            </w:r>
            <w:r>
              <w:rPr>
                <w:rFonts w:ascii="仿宋" w:hAnsi="仿宋" w:eastAsia="仿宋" w:cs="仿宋"/>
                <w:szCs w:val="21"/>
              </w:rPr>
              <w:t>等</w:t>
            </w:r>
            <w:r>
              <w:rPr>
                <w:rFonts w:hint="eastAsia" w:ascii="仿宋" w:hAnsi="仿宋" w:eastAsia="仿宋" w:cs="仿宋"/>
                <w:szCs w:val="21"/>
              </w:rPr>
              <w:t>教学材料配套齐全，符合课程设计要求，满足线上线下课程教学需要。</w:t>
            </w:r>
          </w:p>
        </w:tc>
      </w:tr>
      <w:tr w14:paraId="6CBC8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65" w:type="dxa"/>
            <w:vMerge w:val="restart"/>
            <w:noWrap w:val="0"/>
            <w:vAlign w:val="center"/>
          </w:tcPr>
          <w:p w14:paraId="22B4D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3.教学方法与手段</w:t>
            </w:r>
          </w:p>
        </w:tc>
        <w:tc>
          <w:tcPr>
            <w:tcW w:w="1067" w:type="dxa"/>
            <w:noWrap w:val="0"/>
            <w:vAlign w:val="center"/>
          </w:tcPr>
          <w:p w14:paraId="62D25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3-1教学设计</w:t>
            </w:r>
          </w:p>
        </w:tc>
        <w:tc>
          <w:tcPr>
            <w:tcW w:w="7236" w:type="dxa"/>
            <w:noWrap w:val="0"/>
            <w:vAlign w:val="center"/>
          </w:tcPr>
          <w:p w14:paraId="59108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体现以“学生为中心”教学理念和教学过程对接生产过程、教学环节对接实际岗位工作任务要求；突出课堂教学的创新设计和吸引力的发挥，创建翻转课堂、线上线下混合式、理实一体化等教学模式。</w:t>
            </w:r>
          </w:p>
        </w:tc>
      </w:tr>
      <w:tr w14:paraId="1C7A5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65" w:type="dxa"/>
            <w:vMerge w:val="continue"/>
            <w:noWrap w:val="0"/>
            <w:vAlign w:val="center"/>
          </w:tcPr>
          <w:p w14:paraId="24207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70E3F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3-2教学方法</w:t>
            </w:r>
          </w:p>
        </w:tc>
        <w:tc>
          <w:tcPr>
            <w:tcW w:w="7236" w:type="dxa"/>
            <w:noWrap w:val="0"/>
            <w:vAlign w:val="center"/>
          </w:tcPr>
          <w:p w14:paraId="08D01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根据课程内容和学生特点，灵活运用项目教学、案例教学、情境教学、模块化教学等教学方式，广泛运用启发式、探究式、讨论式、参与式等教学方法，探索使用翻转课堂、混合式教学、理实一体教学等新型教学模式，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师生互动、生生互动充分且高效，</w:t>
            </w:r>
            <w:r>
              <w:rPr>
                <w:rFonts w:hint="eastAsia" w:ascii="仿宋" w:hAnsi="仿宋" w:eastAsia="仿宋" w:cs="仿宋"/>
                <w:szCs w:val="21"/>
              </w:rPr>
              <w:t>引领学生积极思考，勇于实践，教学效果好。</w:t>
            </w:r>
          </w:p>
        </w:tc>
      </w:tr>
      <w:tr w14:paraId="02E5C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765" w:type="dxa"/>
            <w:vMerge w:val="continue"/>
            <w:noWrap w:val="0"/>
            <w:vAlign w:val="center"/>
          </w:tcPr>
          <w:p w14:paraId="38002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4BF71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3-3教学手段</w:t>
            </w:r>
          </w:p>
        </w:tc>
        <w:tc>
          <w:tcPr>
            <w:tcW w:w="7236" w:type="dxa"/>
            <w:noWrap w:val="0"/>
            <w:vAlign w:val="center"/>
          </w:tcPr>
          <w:p w14:paraId="3E326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运用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适当数字化教学工具和</w:t>
            </w:r>
            <w:r>
              <w:rPr>
                <w:rFonts w:hint="eastAsia" w:ascii="仿宋" w:hAnsi="仿宋" w:eastAsia="仿宋" w:cs="仿宋"/>
                <w:szCs w:val="21"/>
              </w:rPr>
              <w:t>现代信息化技术，优化教学条件、教学方法、教学过程和教学资源，提高教学效率，课堂教学取得实效。</w:t>
            </w:r>
          </w:p>
        </w:tc>
      </w:tr>
      <w:tr w14:paraId="4ACFC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765" w:type="dxa"/>
            <w:vMerge w:val="continue"/>
            <w:noWrap w:val="0"/>
            <w:vAlign w:val="center"/>
          </w:tcPr>
          <w:p w14:paraId="139BE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19724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3-4网络教学环境</w:t>
            </w:r>
          </w:p>
        </w:tc>
        <w:tc>
          <w:tcPr>
            <w:tcW w:w="7236" w:type="dxa"/>
            <w:noWrap w:val="0"/>
            <w:vAlign w:val="center"/>
          </w:tcPr>
          <w:p w14:paraId="48511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学校数字化校园建设完善，教学场地网络全覆盖；创建课程教学资源平台，架构合理，课程资源丰富，运行良好并能有效共享。</w:t>
            </w:r>
          </w:p>
        </w:tc>
      </w:tr>
      <w:tr w14:paraId="2B7AA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65" w:type="dxa"/>
            <w:vMerge w:val="restart"/>
            <w:noWrap w:val="0"/>
            <w:vAlign w:val="center"/>
          </w:tcPr>
          <w:p w14:paraId="3F06A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4.教学队伍</w:t>
            </w:r>
          </w:p>
        </w:tc>
        <w:tc>
          <w:tcPr>
            <w:tcW w:w="1067" w:type="dxa"/>
            <w:noWrap w:val="0"/>
            <w:vAlign w:val="center"/>
          </w:tcPr>
          <w:p w14:paraId="3D510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4-1主讲教师</w:t>
            </w:r>
          </w:p>
        </w:tc>
        <w:tc>
          <w:tcPr>
            <w:tcW w:w="7236" w:type="dxa"/>
            <w:noWrap w:val="0"/>
            <w:vAlign w:val="center"/>
          </w:tcPr>
          <w:p w14:paraId="2D49D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师德高尚，治学严谨，执教能力强，教学效果好，参与和承担教学研究和学校改革项目成果显著，专业课主讲教师应为“双师型”教师，与企业联系密切，参与校企合作或相关专业技术服务项目成果明显，并在行业企业有一定影响。</w:t>
            </w:r>
          </w:p>
        </w:tc>
      </w:tr>
      <w:tr w14:paraId="2824F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765" w:type="dxa"/>
            <w:vMerge w:val="continue"/>
            <w:noWrap w:val="0"/>
            <w:vAlign w:val="center"/>
          </w:tcPr>
          <w:p w14:paraId="5EDF6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5A51F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4-2教学队伍结构</w:t>
            </w:r>
          </w:p>
        </w:tc>
        <w:tc>
          <w:tcPr>
            <w:tcW w:w="7236" w:type="dxa"/>
            <w:noWrap w:val="0"/>
            <w:vAlign w:val="center"/>
          </w:tcPr>
          <w:p w14:paraId="197CA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年龄与职称结构合理，专任教师中双师素质教师比例、有企业经历的教师比例、专兼职教师结构比例符合课程性质和教学实施要求；注重团队专业化培养和结构化建设，团结协助和创新能力强。</w:t>
            </w:r>
          </w:p>
        </w:tc>
      </w:tr>
      <w:tr w14:paraId="4D82D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5" w:type="dxa"/>
            <w:vMerge w:val="restart"/>
            <w:noWrap w:val="0"/>
            <w:vAlign w:val="center"/>
          </w:tcPr>
          <w:p w14:paraId="4CCA6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5.实践条件</w:t>
            </w:r>
          </w:p>
        </w:tc>
        <w:tc>
          <w:tcPr>
            <w:tcW w:w="1067" w:type="dxa"/>
            <w:noWrap w:val="0"/>
            <w:vAlign w:val="center"/>
          </w:tcPr>
          <w:p w14:paraId="330DF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5-1校内实训条件</w:t>
            </w:r>
          </w:p>
        </w:tc>
        <w:tc>
          <w:tcPr>
            <w:tcW w:w="7236" w:type="dxa"/>
            <w:noWrap w:val="0"/>
            <w:vAlign w:val="center"/>
          </w:tcPr>
          <w:p w14:paraId="685D6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实训基地由行业企业与学校共同参与建设，体现数智化技术应用，满足课程生产性或仿真性实训要求，设备设施利用率高。</w:t>
            </w:r>
          </w:p>
        </w:tc>
      </w:tr>
      <w:tr w14:paraId="047D3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5" w:type="dxa"/>
            <w:vMerge w:val="continue"/>
            <w:noWrap w:val="0"/>
            <w:vAlign w:val="center"/>
          </w:tcPr>
          <w:p w14:paraId="68D87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2DDF3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5-2校外岗位实习条件</w:t>
            </w:r>
          </w:p>
        </w:tc>
        <w:tc>
          <w:tcPr>
            <w:tcW w:w="7236" w:type="dxa"/>
            <w:noWrap w:val="0"/>
            <w:vAlign w:val="center"/>
          </w:tcPr>
          <w:p w14:paraId="4C555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建有</w:t>
            </w:r>
            <w:r>
              <w:rPr>
                <w:rFonts w:hint="eastAsia" w:ascii="仿宋" w:hAnsi="仿宋" w:eastAsia="仿宋" w:cs="仿宋"/>
                <w:szCs w:val="21"/>
              </w:rPr>
              <w:t>与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专业教学需要相匹配的校外实训基础</w:t>
            </w:r>
            <w:r>
              <w:rPr>
                <w:rFonts w:hint="eastAsia" w:ascii="仿宋" w:hAnsi="仿宋" w:eastAsia="仿宋" w:cs="仿宋"/>
                <w:szCs w:val="21"/>
              </w:rPr>
              <w:t>布局合理，功能明确，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能够合理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有效利用，</w:t>
            </w:r>
            <w:r>
              <w:rPr>
                <w:rFonts w:hint="eastAsia" w:ascii="仿宋" w:hAnsi="仿宋" w:eastAsia="仿宋" w:cs="仿宋"/>
                <w:szCs w:val="21"/>
              </w:rPr>
              <w:t>为课程的实践教学提供真实或仿真工作环境，能够满足学生了解企业实际、体验企业文化和跟岗顶岗实习需要。</w:t>
            </w:r>
          </w:p>
        </w:tc>
      </w:tr>
      <w:tr w14:paraId="56A1E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65" w:type="dxa"/>
            <w:vMerge w:val="restart"/>
            <w:noWrap w:val="0"/>
            <w:vAlign w:val="center"/>
          </w:tcPr>
          <w:p w14:paraId="08C3A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6.教学效果</w:t>
            </w:r>
          </w:p>
        </w:tc>
        <w:tc>
          <w:tcPr>
            <w:tcW w:w="1067" w:type="dxa"/>
            <w:noWrap w:val="0"/>
            <w:vAlign w:val="center"/>
          </w:tcPr>
          <w:p w14:paraId="5507B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6-1教学评价</w:t>
            </w:r>
          </w:p>
        </w:tc>
        <w:tc>
          <w:tcPr>
            <w:tcW w:w="7236" w:type="dxa"/>
            <w:noWrap w:val="0"/>
            <w:vAlign w:val="center"/>
          </w:tcPr>
          <w:p w14:paraId="13EB4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积极开展课程多元化体系评价，利用大数据技术对校外专家、行业企业专家、校内督导及学生等评价进行系统分析和提出完善意见，促进课程质量的不断提高。</w:t>
            </w:r>
          </w:p>
        </w:tc>
      </w:tr>
      <w:tr w14:paraId="5B5B5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continue"/>
            <w:noWrap w:val="0"/>
            <w:vAlign w:val="center"/>
          </w:tcPr>
          <w:p w14:paraId="058E3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038C2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6-2社会评价</w:t>
            </w:r>
          </w:p>
        </w:tc>
        <w:tc>
          <w:tcPr>
            <w:tcW w:w="7236" w:type="dxa"/>
            <w:noWrap w:val="0"/>
            <w:vAlign w:val="center"/>
          </w:tcPr>
          <w:p w14:paraId="016A8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学生实际动手能力强，课程对应或相关的职业资格证书和专业技能等级水平证书获得率高，相应技能竞赛获奖率高。</w:t>
            </w:r>
          </w:p>
        </w:tc>
      </w:tr>
      <w:tr w14:paraId="321A5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noWrap w:val="0"/>
            <w:vAlign w:val="center"/>
          </w:tcPr>
          <w:p w14:paraId="7E361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特色与创新</w:t>
            </w:r>
          </w:p>
        </w:tc>
        <w:tc>
          <w:tcPr>
            <w:tcW w:w="8303" w:type="dxa"/>
            <w:gridSpan w:val="2"/>
            <w:noWrap w:val="0"/>
            <w:vAlign w:val="center"/>
          </w:tcPr>
          <w:p w14:paraId="03704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改革迭代优化，有意识开展教学反思、教学研究和教学改进，不断优化教学的设计和实施。</w:t>
            </w:r>
            <w:r>
              <w:rPr>
                <w:rFonts w:hint="eastAsia" w:ascii="仿宋" w:hAnsi="仿宋" w:eastAsia="仿宋" w:cs="仿宋"/>
                <w:szCs w:val="21"/>
              </w:rPr>
              <w:t>课程体现职教类型特色、专业特色、课程特色，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较好解决了教学中的短板问题，</w:t>
            </w:r>
            <w:r>
              <w:rPr>
                <w:rFonts w:hint="eastAsia" w:ascii="仿宋" w:hAnsi="仿宋" w:eastAsia="仿宋" w:cs="仿宋"/>
                <w:szCs w:val="21"/>
              </w:rPr>
              <w:t>形成具有全省推广意义的典型案例。</w:t>
            </w:r>
          </w:p>
        </w:tc>
      </w:tr>
    </w:tbl>
    <w:p w14:paraId="275AFB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282B318-D038-4B44-A278-5496974F1F9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5CAF90B-21B9-4B6A-8872-B4DE2FE8B6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F47F980-37CB-4906-86C4-1E37D153F3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75F4A"/>
    <w:rsid w:val="6C47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2024-12-20T02:24:00Z</dcterms:created>
  <dc:creator>打盹等天亮</dc:creator>
  <cp:lastModifiedBy>打盹等天亮</cp:lastModifiedBy>
  <dcterms:modified xsi:type="dcterms:W3CDTF">2024-12-20T02:26:23Z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5CEE79B996734C64B01289BC619C4BB0_11</vt:lpwstr>
  </property>
</Properties>
</file>